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752C" w14:textId="77777777" w:rsidR="00337C08" w:rsidRPr="00337C08" w:rsidRDefault="003E295C" w:rsidP="003E295C">
      <w:pPr>
        <w:jc w:val="both"/>
        <w:rPr>
          <w:sz w:val="22"/>
          <w:szCs w:val="22"/>
        </w:rPr>
      </w:pPr>
      <w:r w:rsidRPr="00337C08">
        <w:rPr>
          <w:b/>
          <w:noProof/>
          <w:color w:val="FFF2CC" w:themeColor="accent4" w:themeTint="33"/>
          <w:sz w:val="22"/>
          <w:szCs w:val="22"/>
        </w:rPr>
        <w:drawing>
          <wp:anchor distT="0" distB="0" distL="114300" distR="114300" simplePos="0" relativeHeight="251659264" behindDoc="0" locked="0" layoutInCell="0" allowOverlap="0" wp14:anchorId="2D0B4B07" wp14:editId="37081528">
            <wp:simplePos x="0" y="0"/>
            <wp:positionH relativeFrom="page">
              <wp:align>center</wp:align>
            </wp:positionH>
            <wp:positionV relativeFrom="page">
              <wp:posOffset>482600</wp:posOffset>
            </wp:positionV>
            <wp:extent cx="6912864"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2864" cy="877824"/>
                    </a:xfrm>
                    <a:prstGeom prst="rect">
                      <a:avLst/>
                    </a:prstGeom>
                  </pic:spPr>
                </pic:pic>
              </a:graphicData>
            </a:graphic>
            <wp14:sizeRelH relativeFrom="margin">
              <wp14:pctWidth>0</wp14:pctWidth>
            </wp14:sizeRelH>
            <wp14:sizeRelV relativeFrom="margin">
              <wp14:pctHeight>0</wp14:pctHeight>
            </wp14:sizeRelV>
          </wp:anchor>
        </w:drawing>
      </w:r>
    </w:p>
    <w:p w14:paraId="0BADC485" w14:textId="77777777" w:rsidR="003E295C" w:rsidRPr="00337C08" w:rsidRDefault="003E295C" w:rsidP="003E295C">
      <w:pPr>
        <w:jc w:val="both"/>
        <w:rPr>
          <w:sz w:val="22"/>
          <w:szCs w:val="22"/>
        </w:rPr>
      </w:pPr>
    </w:p>
    <w:p w14:paraId="2458EA40" w14:textId="77777777" w:rsidR="003E295C" w:rsidRPr="00337C08" w:rsidRDefault="003E295C" w:rsidP="003E295C">
      <w:pPr>
        <w:jc w:val="both"/>
        <w:rPr>
          <w:sz w:val="22"/>
          <w:szCs w:val="22"/>
        </w:rPr>
      </w:pPr>
    </w:p>
    <w:p w14:paraId="17722162" w14:textId="77777777" w:rsidR="005F3A69" w:rsidRDefault="005F3A69" w:rsidP="005F3A69">
      <w:pPr>
        <w:jc w:val="center"/>
        <w:rPr>
          <w:b/>
          <w:sz w:val="22"/>
          <w:szCs w:val="22"/>
        </w:rPr>
      </w:pPr>
    </w:p>
    <w:p w14:paraId="2390D2FF" w14:textId="77777777" w:rsidR="00A2347C" w:rsidRPr="00974B1F" w:rsidRDefault="00A2347C" w:rsidP="00A2347C">
      <w:pPr>
        <w:jc w:val="center"/>
        <w:rPr>
          <w:b/>
          <w:sz w:val="22"/>
          <w:szCs w:val="22"/>
        </w:rPr>
      </w:pPr>
      <w:r>
        <w:rPr>
          <w:b/>
          <w:sz w:val="22"/>
          <w:szCs w:val="22"/>
        </w:rPr>
        <w:t>Submission to the Special Rapporteur on Violence Against Women, its Causes and Consequences</w:t>
      </w:r>
    </w:p>
    <w:p w14:paraId="05FB5815" w14:textId="77777777" w:rsidR="00A2347C" w:rsidRPr="00337C08" w:rsidRDefault="00A2347C" w:rsidP="00A2347C">
      <w:pPr>
        <w:jc w:val="center"/>
        <w:rPr>
          <w:b/>
          <w:sz w:val="22"/>
          <w:szCs w:val="22"/>
        </w:rPr>
      </w:pPr>
      <w:r w:rsidRPr="00974B1F">
        <w:rPr>
          <w:b/>
          <w:sz w:val="22"/>
          <w:szCs w:val="22"/>
        </w:rPr>
        <w:t>Call for femicide</w:t>
      </w:r>
      <w:r>
        <w:rPr>
          <w:b/>
          <w:sz w:val="22"/>
          <w:szCs w:val="22"/>
        </w:rPr>
        <w:t>-</w:t>
      </w:r>
      <w:r w:rsidRPr="00974B1F">
        <w:rPr>
          <w:b/>
          <w:sz w:val="22"/>
          <w:szCs w:val="22"/>
        </w:rPr>
        <w:t>related data and information</w:t>
      </w:r>
    </w:p>
    <w:p w14:paraId="166ED022" w14:textId="77777777" w:rsidR="00A2347C" w:rsidRPr="00337C08" w:rsidRDefault="00A2347C" w:rsidP="00A2347C">
      <w:pPr>
        <w:jc w:val="center"/>
        <w:rPr>
          <w:i/>
          <w:sz w:val="22"/>
          <w:szCs w:val="22"/>
        </w:rPr>
      </w:pPr>
      <w:r>
        <w:rPr>
          <w:i/>
          <w:sz w:val="22"/>
          <w:szCs w:val="22"/>
        </w:rPr>
        <w:t>November 15</w:t>
      </w:r>
      <w:r w:rsidRPr="00337C08">
        <w:rPr>
          <w:i/>
          <w:sz w:val="22"/>
          <w:szCs w:val="22"/>
        </w:rPr>
        <w:t>, 201</w:t>
      </w:r>
      <w:r>
        <w:rPr>
          <w:i/>
          <w:sz w:val="22"/>
          <w:szCs w:val="22"/>
        </w:rPr>
        <w:t>8</w:t>
      </w:r>
    </w:p>
    <w:p w14:paraId="34336C2A" w14:textId="77777777" w:rsidR="00A2347C" w:rsidRPr="00337C08" w:rsidRDefault="00A2347C" w:rsidP="00A2347C">
      <w:pPr>
        <w:jc w:val="center"/>
        <w:rPr>
          <w:i/>
          <w:sz w:val="22"/>
          <w:szCs w:val="22"/>
        </w:rPr>
      </w:pPr>
    </w:p>
    <w:p w14:paraId="33C9497F" w14:textId="77777777" w:rsidR="00A2347C" w:rsidRDefault="00A2347C" w:rsidP="00F4529A">
      <w:pPr>
        <w:jc w:val="both"/>
        <w:rPr>
          <w:sz w:val="22"/>
          <w:szCs w:val="22"/>
        </w:rPr>
      </w:pPr>
      <w:r>
        <w:rPr>
          <w:sz w:val="22"/>
          <w:szCs w:val="22"/>
        </w:rPr>
        <w:t>Prepared by: Women Enabled International</w:t>
      </w:r>
    </w:p>
    <w:p w14:paraId="4C15567E" w14:textId="77777777" w:rsidR="00A2347C" w:rsidRDefault="00A2347C" w:rsidP="00F4529A">
      <w:pPr>
        <w:pStyle w:val="ListParagraph"/>
        <w:numPr>
          <w:ilvl w:val="0"/>
          <w:numId w:val="11"/>
        </w:numPr>
        <w:jc w:val="both"/>
        <w:rPr>
          <w:sz w:val="22"/>
          <w:szCs w:val="22"/>
        </w:rPr>
      </w:pPr>
      <w:r w:rsidRPr="006D7DC5">
        <w:rPr>
          <w:sz w:val="22"/>
          <w:szCs w:val="22"/>
        </w:rPr>
        <w:t xml:space="preserve">Stephanie Ortoleva, President &amp; Executive Director, </w:t>
      </w:r>
      <w:hyperlink r:id="rId9" w:history="1">
        <w:r w:rsidRPr="006D7DC5">
          <w:rPr>
            <w:rStyle w:val="Hyperlink"/>
            <w:sz w:val="22"/>
            <w:szCs w:val="22"/>
          </w:rPr>
          <w:t>President@WomenEnabled.org</w:t>
        </w:r>
      </w:hyperlink>
      <w:r w:rsidRPr="006D7DC5">
        <w:rPr>
          <w:sz w:val="22"/>
          <w:szCs w:val="22"/>
        </w:rPr>
        <w:t xml:space="preserve"> </w:t>
      </w:r>
    </w:p>
    <w:p w14:paraId="69A3F2F1" w14:textId="77777777" w:rsidR="00A2347C" w:rsidRPr="006D7DC5" w:rsidRDefault="00A2347C" w:rsidP="00F4529A">
      <w:pPr>
        <w:pStyle w:val="ListParagraph"/>
        <w:numPr>
          <w:ilvl w:val="0"/>
          <w:numId w:val="11"/>
        </w:numPr>
        <w:jc w:val="both"/>
        <w:rPr>
          <w:rStyle w:val="Hyperlink"/>
          <w:color w:val="auto"/>
          <w:sz w:val="22"/>
          <w:szCs w:val="22"/>
          <w:u w:val="none"/>
        </w:rPr>
      </w:pPr>
      <w:r w:rsidRPr="001B5DDB">
        <w:rPr>
          <w:sz w:val="22"/>
          <w:szCs w:val="22"/>
        </w:rPr>
        <w:t xml:space="preserve">Amanda McRae, Director of U.N. Advocacy, </w:t>
      </w:r>
      <w:hyperlink r:id="rId10" w:history="1">
        <w:r w:rsidRPr="001B5DDB">
          <w:rPr>
            <w:rStyle w:val="Hyperlink"/>
            <w:sz w:val="22"/>
            <w:szCs w:val="22"/>
          </w:rPr>
          <w:t>a.mcrae@WomenEnabled.org</w:t>
        </w:r>
      </w:hyperlink>
    </w:p>
    <w:p w14:paraId="51ABF937" w14:textId="77777777" w:rsidR="00A2347C" w:rsidRPr="001B5DDB" w:rsidRDefault="00A2347C" w:rsidP="00F4529A">
      <w:pPr>
        <w:pStyle w:val="ListParagraph"/>
        <w:numPr>
          <w:ilvl w:val="0"/>
          <w:numId w:val="11"/>
        </w:numPr>
        <w:jc w:val="both"/>
        <w:rPr>
          <w:sz w:val="22"/>
          <w:szCs w:val="22"/>
          <w:lang w:val="es-ES"/>
        </w:rPr>
      </w:pPr>
      <w:r w:rsidRPr="006D7DC5">
        <w:rPr>
          <w:sz w:val="22"/>
          <w:szCs w:val="22"/>
          <w:lang w:val="es-ES"/>
        </w:rPr>
        <w:t xml:space="preserve">Mariela Galeazzi, Legal Fellow, </w:t>
      </w:r>
      <w:hyperlink r:id="rId11" w:history="1">
        <w:r w:rsidRPr="006D7DC5">
          <w:rPr>
            <w:rStyle w:val="Hyperlink"/>
            <w:sz w:val="22"/>
            <w:szCs w:val="22"/>
            <w:lang w:val="es-ES"/>
          </w:rPr>
          <w:t>m.galeazzi@WomenEnabled.org</w:t>
        </w:r>
      </w:hyperlink>
      <w:r w:rsidRPr="006D7DC5">
        <w:rPr>
          <w:sz w:val="22"/>
          <w:szCs w:val="22"/>
          <w:lang w:val="es-ES"/>
        </w:rPr>
        <w:t xml:space="preserve"> </w:t>
      </w:r>
    </w:p>
    <w:p w14:paraId="31733EE4" w14:textId="4C2A7845" w:rsidR="00F4529A" w:rsidRDefault="00F4529A" w:rsidP="00F4529A">
      <w:pPr>
        <w:jc w:val="both"/>
        <w:rPr>
          <w:i/>
          <w:sz w:val="22"/>
          <w:szCs w:val="22"/>
          <w:lang w:val="es-ES"/>
        </w:rPr>
      </w:pPr>
    </w:p>
    <w:p w14:paraId="124AADDD" w14:textId="77777777" w:rsidR="0049491D" w:rsidRDefault="0049491D" w:rsidP="0049491D">
      <w:pPr>
        <w:shd w:val="clear" w:color="auto" w:fill="FFFFFF"/>
        <w:rPr>
          <w:sz w:val="22"/>
          <w:szCs w:val="22"/>
          <w:lang w:val="es-ES"/>
        </w:rPr>
      </w:pPr>
      <w:r w:rsidRPr="00E44E10">
        <w:rPr>
          <w:sz w:val="22"/>
          <w:szCs w:val="22"/>
          <w:lang w:val="es-ES"/>
        </w:rPr>
        <w:t xml:space="preserve">In </w:t>
      </w:r>
      <w:proofErr w:type="spellStart"/>
      <w:r w:rsidRPr="00E44E10">
        <w:rPr>
          <w:sz w:val="22"/>
          <w:szCs w:val="22"/>
          <w:lang w:val="es-ES"/>
        </w:rPr>
        <w:t>partnership</w:t>
      </w:r>
      <w:proofErr w:type="spellEnd"/>
      <w:r w:rsidRPr="00E44E10">
        <w:rPr>
          <w:sz w:val="22"/>
          <w:szCs w:val="22"/>
          <w:lang w:val="es-ES"/>
        </w:rPr>
        <w:t xml:space="preserve"> with:</w:t>
      </w:r>
    </w:p>
    <w:p w14:paraId="55FCB27A" w14:textId="77777777" w:rsidR="0049491D" w:rsidRPr="00E44E10" w:rsidRDefault="0049491D" w:rsidP="0049491D">
      <w:pPr>
        <w:pStyle w:val="ListParagraph"/>
        <w:numPr>
          <w:ilvl w:val="0"/>
          <w:numId w:val="13"/>
        </w:numPr>
        <w:shd w:val="clear" w:color="auto" w:fill="FFFFFF"/>
        <w:rPr>
          <w:sz w:val="22"/>
          <w:szCs w:val="22"/>
        </w:rPr>
      </w:pPr>
      <w:r w:rsidRPr="00E44E10">
        <w:rPr>
          <w:sz w:val="22"/>
          <w:szCs w:val="22"/>
        </w:rPr>
        <w:t xml:space="preserve">Association for Women with Disabilities ONE.pl (Poland), Magdalena </w:t>
      </w:r>
      <w:proofErr w:type="spellStart"/>
      <w:r w:rsidRPr="00E44E10">
        <w:rPr>
          <w:sz w:val="22"/>
          <w:szCs w:val="22"/>
        </w:rPr>
        <w:t>Szarota</w:t>
      </w:r>
      <w:proofErr w:type="spellEnd"/>
      <w:r w:rsidRPr="00E44E10">
        <w:rPr>
          <w:sz w:val="22"/>
          <w:szCs w:val="22"/>
        </w:rPr>
        <w:t xml:space="preserve"> (Co-Founder), </w:t>
      </w:r>
      <w:hyperlink r:id="rId12" w:history="1">
        <w:r w:rsidRPr="00E44E10">
          <w:rPr>
            <w:rStyle w:val="Hyperlink"/>
            <w:sz w:val="22"/>
            <w:szCs w:val="22"/>
          </w:rPr>
          <w:t>m.szarota@lancaster.ac.uk</w:t>
        </w:r>
      </w:hyperlink>
    </w:p>
    <w:p w14:paraId="5A57DF31" w14:textId="77777777" w:rsidR="0049491D" w:rsidRPr="00E44E10" w:rsidRDefault="0049491D" w:rsidP="0049491D">
      <w:pPr>
        <w:pStyle w:val="ListParagraph"/>
        <w:numPr>
          <w:ilvl w:val="0"/>
          <w:numId w:val="13"/>
        </w:numPr>
        <w:shd w:val="clear" w:color="auto" w:fill="FFFFFF"/>
        <w:rPr>
          <w:rStyle w:val="Hyperlink"/>
          <w:color w:val="auto"/>
          <w:sz w:val="22"/>
          <w:szCs w:val="22"/>
          <w:u w:val="none"/>
        </w:rPr>
      </w:pPr>
      <w:r w:rsidRPr="00E44E10">
        <w:rPr>
          <w:sz w:val="22"/>
          <w:szCs w:val="22"/>
        </w:rPr>
        <w:t xml:space="preserve">Advocacy for Women with Disabilities Initiative (Nigeria), Patience Dickson (President), </w:t>
      </w:r>
      <w:hyperlink r:id="rId13" w:history="1">
        <w:r w:rsidRPr="00E44E10">
          <w:rPr>
            <w:rStyle w:val="Hyperlink"/>
            <w:sz w:val="22"/>
            <w:szCs w:val="22"/>
          </w:rPr>
          <w:t>awwdinigeria@gmail.com</w:t>
        </w:r>
      </w:hyperlink>
    </w:p>
    <w:p w14:paraId="781A31B7" w14:textId="77777777" w:rsidR="0049491D" w:rsidRPr="00E44E10" w:rsidRDefault="0049491D" w:rsidP="0049491D">
      <w:pPr>
        <w:pStyle w:val="ListParagraph"/>
        <w:numPr>
          <w:ilvl w:val="0"/>
          <w:numId w:val="13"/>
        </w:numPr>
        <w:shd w:val="clear" w:color="auto" w:fill="FFFFFF"/>
        <w:rPr>
          <w:rStyle w:val="Hyperlink"/>
          <w:color w:val="auto"/>
          <w:sz w:val="22"/>
          <w:szCs w:val="22"/>
          <w:u w:val="none"/>
        </w:rPr>
      </w:pPr>
      <w:r w:rsidRPr="00E44E10">
        <w:rPr>
          <w:sz w:val="22"/>
          <w:szCs w:val="22"/>
        </w:rPr>
        <w:t xml:space="preserve">Caribbean Council for the Blind, </w:t>
      </w:r>
      <w:proofErr w:type="spellStart"/>
      <w:r w:rsidRPr="00E44E10">
        <w:rPr>
          <w:sz w:val="22"/>
          <w:szCs w:val="22"/>
        </w:rPr>
        <w:t>Kerryann</w:t>
      </w:r>
      <w:proofErr w:type="spellEnd"/>
      <w:r w:rsidRPr="00E44E10">
        <w:rPr>
          <w:sz w:val="22"/>
          <w:szCs w:val="22"/>
        </w:rPr>
        <w:t xml:space="preserve"> </w:t>
      </w:r>
      <w:proofErr w:type="spellStart"/>
      <w:r w:rsidRPr="00E44E10">
        <w:rPr>
          <w:sz w:val="22"/>
          <w:szCs w:val="22"/>
        </w:rPr>
        <w:t>Ifill</w:t>
      </w:r>
      <w:proofErr w:type="spellEnd"/>
      <w:r w:rsidRPr="00E44E10">
        <w:rPr>
          <w:sz w:val="22"/>
          <w:szCs w:val="22"/>
        </w:rPr>
        <w:t xml:space="preserve"> (President), </w:t>
      </w:r>
      <w:hyperlink r:id="rId14" w:history="1">
        <w:r w:rsidRPr="00E44E10">
          <w:rPr>
            <w:rStyle w:val="Hyperlink"/>
            <w:sz w:val="22"/>
            <w:szCs w:val="22"/>
          </w:rPr>
          <w:t>ksbf@caribsurf.com</w:t>
        </w:r>
      </w:hyperlink>
    </w:p>
    <w:p w14:paraId="1FF22E4C" w14:textId="77777777" w:rsidR="0049491D" w:rsidRPr="00E44E10" w:rsidRDefault="0049491D" w:rsidP="0049491D">
      <w:pPr>
        <w:pStyle w:val="ListParagraph"/>
        <w:numPr>
          <w:ilvl w:val="0"/>
          <w:numId w:val="13"/>
        </w:numPr>
        <w:shd w:val="clear" w:color="auto" w:fill="FFFFFF"/>
        <w:rPr>
          <w:sz w:val="22"/>
          <w:szCs w:val="22"/>
          <w:lang w:val="es-ES"/>
        </w:rPr>
      </w:pPr>
      <w:r w:rsidRPr="00E44E10">
        <w:rPr>
          <w:sz w:val="22"/>
          <w:szCs w:val="22"/>
          <w:lang w:val="es-ES"/>
        </w:rPr>
        <w:t>Fundación Paso a Paso (Mexico)</w:t>
      </w:r>
      <w:r>
        <w:rPr>
          <w:sz w:val="22"/>
          <w:szCs w:val="22"/>
          <w:lang w:val="es-ES"/>
        </w:rPr>
        <w:t xml:space="preserve">, Olga </w:t>
      </w:r>
      <w:proofErr w:type="spellStart"/>
      <w:r>
        <w:rPr>
          <w:sz w:val="22"/>
          <w:szCs w:val="22"/>
          <w:lang w:val="es-ES"/>
        </w:rPr>
        <w:t>Montúfar</w:t>
      </w:r>
      <w:proofErr w:type="spellEnd"/>
      <w:r>
        <w:rPr>
          <w:sz w:val="22"/>
          <w:szCs w:val="22"/>
          <w:lang w:val="es-ES"/>
        </w:rPr>
        <w:t xml:space="preserve"> Contreras (</w:t>
      </w:r>
      <w:proofErr w:type="spellStart"/>
      <w:r>
        <w:rPr>
          <w:sz w:val="22"/>
          <w:szCs w:val="22"/>
          <w:lang w:val="es-ES"/>
        </w:rPr>
        <w:t>President</w:t>
      </w:r>
      <w:proofErr w:type="spellEnd"/>
      <w:r>
        <w:rPr>
          <w:sz w:val="22"/>
          <w:szCs w:val="22"/>
          <w:lang w:val="es-ES"/>
        </w:rPr>
        <w:t xml:space="preserve">), </w:t>
      </w:r>
      <w:hyperlink r:id="rId15" w:history="1">
        <w:r w:rsidRPr="00FA5FDF">
          <w:rPr>
            <w:rStyle w:val="Hyperlink"/>
            <w:sz w:val="22"/>
            <w:szCs w:val="22"/>
            <w:lang w:val="es-ES"/>
          </w:rPr>
          <w:t>montufar31@hotmail.com</w:t>
        </w:r>
      </w:hyperlink>
      <w:r>
        <w:rPr>
          <w:sz w:val="22"/>
          <w:szCs w:val="22"/>
          <w:lang w:val="es-ES"/>
        </w:rPr>
        <w:t xml:space="preserve"> </w:t>
      </w:r>
    </w:p>
    <w:p w14:paraId="28E6D3FB" w14:textId="77777777" w:rsidR="0049491D" w:rsidRPr="00E44E10" w:rsidRDefault="0049491D" w:rsidP="0049491D">
      <w:pPr>
        <w:pStyle w:val="ListParagraph"/>
        <w:numPr>
          <w:ilvl w:val="0"/>
          <w:numId w:val="13"/>
        </w:numPr>
        <w:shd w:val="clear" w:color="auto" w:fill="FFFFFF"/>
        <w:rPr>
          <w:rStyle w:val="Hyperlink"/>
          <w:color w:val="auto"/>
          <w:sz w:val="22"/>
          <w:szCs w:val="22"/>
          <w:u w:val="none"/>
        </w:rPr>
      </w:pPr>
      <w:r w:rsidRPr="00E44E10">
        <w:rPr>
          <w:sz w:val="22"/>
          <w:szCs w:val="22"/>
        </w:rPr>
        <w:t xml:space="preserve">National United Society of the Blind (Barbados), </w:t>
      </w:r>
      <w:proofErr w:type="spellStart"/>
      <w:r w:rsidRPr="00E44E10">
        <w:rPr>
          <w:sz w:val="22"/>
          <w:szCs w:val="22"/>
        </w:rPr>
        <w:t>Kerryann</w:t>
      </w:r>
      <w:proofErr w:type="spellEnd"/>
      <w:r w:rsidRPr="00E44E10">
        <w:rPr>
          <w:sz w:val="22"/>
          <w:szCs w:val="22"/>
        </w:rPr>
        <w:t xml:space="preserve"> </w:t>
      </w:r>
      <w:proofErr w:type="spellStart"/>
      <w:r w:rsidRPr="00E44E10">
        <w:rPr>
          <w:sz w:val="22"/>
          <w:szCs w:val="22"/>
        </w:rPr>
        <w:t>Ifill</w:t>
      </w:r>
      <w:proofErr w:type="spellEnd"/>
      <w:r w:rsidRPr="00E44E10">
        <w:rPr>
          <w:sz w:val="22"/>
          <w:szCs w:val="22"/>
        </w:rPr>
        <w:t xml:space="preserve"> (President), </w:t>
      </w:r>
      <w:hyperlink r:id="rId16" w:history="1">
        <w:r w:rsidRPr="00E44E10">
          <w:rPr>
            <w:rStyle w:val="Hyperlink"/>
            <w:sz w:val="22"/>
            <w:szCs w:val="22"/>
          </w:rPr>
          <w:t>ksbf@caribsurf.com</w:t>
        </w:r>
      </w:hyperlink>
    </w:p>
    <w:p w14:paraId="3A5F0AC4" w14:textId="77777777" w:rsidR="0049491D" w:rsidRPr="00E44E10" w:rsidRDefault="0049491D" w:rsidP="0049491D">
      <w:pPr>
        <w:pStyle w:val="ListParagraph"/>
        <w:numPr>
          <w:ilvl w:val="0"/>
          <w:numId w:val="13"/>
        </w:numPr>
        <w:shd w:val="clear" w:color="auto" w:fill="FFFFFF"/>
        <w:rPr>
          <w:rStyle w:val="Hyperlink"/>
          <w:color w:val="auto"/>
          <w:sz w:val="22"/>
          <w:szCs w:val="22"/>
          <w:u w:val="none"/>
          <w:lang w:val="es-ES"/>
        </w:rPr>
      </w:pPr>
      <w:r w:rsidRPr="00E44E10">
        <w:rPr>
          <w:rStyle w:val="Hyperlink"/>
          <w:color w:val="auto"/>
          <w:sz w:val="22"/>
          <w:szCs w:val="22"/>
          <w:u w:val="none"/>
          <w:lang w:val="es-ES"/>
        </w:rPr>
        <w:t>Red por los Derechos de las Personas con Di</w:t>
      </w:r>
      <w:r>
        <w:rPr>
          <w:rStyle w:val="Hyperlink"/>
          <w:color w:val="auto"/>
          <w:sz w:val="22"/>
          <w:szCs w:val="22"/>
          <w:u w:val="none"/>
          <w:lang w:val="es-ES"/>
        </w:rPr>
        <w:t xml:space="preserve">scapacidad (Argentina), </w:t>
      </w:r>
      <w:hyperlink r:id="rId17" w:history="1">
        <w:r w:rsidRPr="00FA5FDF">
          <w:rPr>
            <w:rStyle w:val="Hyperlink"/>
            <w:sz w:val="22"/>
            <w:szCs w:val="22"/>
            <w:lang w:val="es-ES"/>
          </w:rPr>
          <w:t>mujeres@redi.org.ar</w:t>
        </w:r>
      </w:hyperlink>
      <w:r>
        <w:rPr>
          <w:rStyle w:val="Hyperlink"/>
          <w:color w:val="auto"/>
          <w:sz w:val="22"/>
          <w:szCs w:val="22"/>
          <w:u w:val="none"/>
          <w:lang w:val="es-ES"/>
        </w:rPr>
        <w:t xml:space="preserve"> </w:t>
      </w:r>
    </w:p>
    <w:p w14:paraId="1454BFB1" w14:textId="77777777" w:rsidR="0049491D" w:rsidRPr="0049491D" w:rsidRDefault="0049491D" w:rsidP="00F4529A">
      <w:pPr>
        <w:jc w:val="both"/>
        <w:rPr>
          <w:sz w:val="22"/>
          <w:szCs w:val="22"/>
          <w:lang w:val="es-ES"/>
        </w:rPr>
      </w:pPr>
    </w:p>
    <w:p w14:paraId="06C1B6CE" w14:textId="52BB0375" w:rsidR="00F4529A" w:rsidRPr="00E44E10" w:rsidRDefault="0072355F" w:rsidP="00F4529A">
      <w:pPr>
        <w:jc w:val="both"/>
        <w:rPr>
          <w:sz w:val="22"/>
          <w:szCs w:val="22"/>
        </w:rPr>
      </w:pPr>
      <w:hyperlink r:id="rId18" w:history="1">
        <w:r w:rsidR="00F4529A" w:rsidRPr="00E44E10">
          <w:rPr>
            <w:rStyle w:val="Hyperlink"/>
            <w:sz w:val="22"/>
            <w:szCs w:val="22"/>
          </w:rPr>
          <w:t>Women Enabled International</w:t>
        </w:r>
      </w:hyperlink>
      <w:r w:rsidR="00F4529A" w:rsidRPr="00E44E10">
        <w:rPr>
          <w:sz w:val="22"/>
          <w:szCs w:val="22"/>
        </w:rPr>
        <w:t xml:space="preserve"> (WEI) works at the intersection of women’s rights and disability rights to advance the rights of women and girls with disabilities worldwide. Globally, WEI fosters cooperation across movements to increase international attention to and strengthen human rights standards on issues such as violence against women, sexual and reproductive health and rights, access to justice, education, legal capacity, and humanitarian emergencies.</w:t>
      </w:r>
    </w:p>
    <w:p w14:paraId="4D84A1E0" w14:textId="77777777" w:rsidR="00A2347C" w:rsidRPr="00E44E10" w:rsidRDefault="00A2347C" w:rsidP="00F4529A">
      <w:pPr>
        <w:jc w:val="both"/>
        <w:rPr>
          <w:sz w:val="22"/>
          <w:szCs w:val="22"/>
        </w:rPr>
      </w:pPr>
    </w:p>
    <w:p w14:paraId="44D66308" w14:textId="77777777" w:rsidR="00A2347C" w:rsidRPr="008D1161" w:rsidRDefault="00A2347C" w:rsidP="00A2347C">
      <w:pPr>
        <w:jc w:val="both"/>
        <w:rPr>
          <w:sz w:val="22"/>
          <w:szCs w:val="22"/>
        </w:rPr>
      </w:pPr>
    </w:p>
    <w:p w14:paraId="7647DA8A" w14:textId="77777777" w:rsidR="00A2347C" w:rsidRPr="008D1161" w:rsidRDefault="00A2347C">
      <w:pPr>
        <w:rPr>
          <w:b/>
          <w:sz w:val="22"/>
          <w:szCs w:val="22"/>
        </w:rPr>
      </w:pPr>
      <w:r w:rsidRPr="008D1161">
        <w:rPr>
          <w:b/>
          <w:sz w:val="22"/>
          <w:szCs w:val="22"/>
        </w:rPr>
        <w:br w:type="page"/>
      </w:r>
    </w:p>
    <w:p w14:paraId="1D542308" w14:textId="36945001" w:rsidR="00A2347C" w:rsidRPr="008D1161" w:rsidRDefault="00A2347C" w:rsidP="00974B1F">
      <w:pPr>
        <w:jc w:val="center"/>
        <w:rPr>
          <w:b/>
          <w:sz w:val="22"/>
          <w:szCs w:val="22"/>
        </w:rPr>
      </w:pPr>
      <w:r w:rsidRPr="00337C08">
        <w:rPr>
          <w:b/>
          <w:noProof/>
          <w:color w:val="FFF2CC" w:themeColor="accent4" w:themeTint="33"/>
          <w:sz w:val="22"/>
          <w:szCs w:val="22"/>
        </w:rPr>
        <w:lastRenderedPageBreak/>
        <w:drawing>
          <wp:anchor distT="0" distB="0" distL="114300" distR="114300" simplePos="0" relativeHeight="251661312" behindDoc="0" locked="0" layoutInCell="0" allowOverlap="0" wp14:anchorId="72CE167E" wp14:editId="6741E1B2">
            <wp:simplePos x="0" y="0"/>
            <wp:positionH relativeFrom="page">
              <wp:posOffset>342900</wp:posOffset>
            </wp:positionH>
            <wp:positionV relativeFrom="page">
              <wp:posOffset>114300</wp:posOffset>
            </wp:positionV>
            <wp:extent cx="6912864" cy="8778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2864" cy="877824"/>
                    </a:xfrm>
                    <a:prstGeom prst="rect">
                      <a:avLst/>
                    </a:prstGeom>
                  </pic:spPr>
                </pic:pic>
              </a:graphicData>
            </a:graphic>
            <wp14:sizeRelH relativeFrom="margin">
              <wp14:pctWidth>0</wp14:pctWidth>
            </wp14:sizeRelH>
            <wp14:sizeRelV relativeFrom="margin">
              <wp14:pctHeight>0</wp14:pctHeight>
            </wp14:sizeRelV>
          </wp:anchor>
        </w:drawing>
      </w:r>
    </w:p>
    <w:p w14:paraId="3FD0B7FB" w14:textId="77777777" w:rsidR="00A2347C" w:rsidRPr="008D1161" w:rsidRDefault="00A2347C" w:rsidP="00974B1F">
      <w:pPr>
        <w:jc w:val="center"/>
        <w:rPr>
          <w:b/>
          <w:sz w:val="22"/>
          <w:szCs w:val="22"/>
        </w:rPr>
      </w:pPr>
    </w:p>
    <w:p w14:paraId="70C0D627" w14:textId="0076AFC8" w:rsidR="00974B1F" w:rsidRPr="00974B1F" w:rsidRDefault="00FA5605" w:rsidP="00A2347C">
      <w:pPr>
        <w:jc w:val="center"/>
        <w:rPr>
          <w:b/>
          <w:sz w:val="22"/>
          <w:szCs w:val="22"/>
        </w:rPr>
      </w:pPr>
      <w:r>
        <w:rPr>
          <w:b/>
          <w:sz w:val="22"/>
          <w:szCs w:val="22"/>
        </w:rPr>
        <w:t>Submission to the Special Rapporteur on Violence Against Women</w:t>
      </w:r>
      <w:r w:rsidR="00570DC7">
        <w:rPr>
          <w:b/>
          <w:sz w:val="22"/>
          <w:szCs w:val="22"/>
        </w:rPr>
        <w:t>, its Causes and Consequences</w:t>
      </w:r>
    </w:p>
    <w:p w14:paraId="13689703" w14:textId="307CAE1C" w:rsidR="00FA5605" w:rsidRPr="00337C08" w:rsidRDefault="00974B1F" w:rsidP="00974B1F">
      <w:pPr>
        <w:jc w:val="center"/>
        <w:rPr>
          <w:b/>
          <w:sz w:val="22"/>
          <w:szCs w:val="22"/>
        </w:rPr>
      </w:pPr>
      <w:r w:rsidRPr="00974B1F">
        <w:rPr>
          <w:b/>
          <w:sz w:val="22"/>
          <w:szCs w:val="22"/>
        </w:rPr>
        <w:t>Call for femicide</w:t>
      </w:r>
      <w:r w:rsidR="004D6099">
        <w:rPr>
          <w:b/>
          <w:sz w:val="22"/>
          <w:szCs w:val="22"/>
        </w:rPr>
        <w:t>-</w:t>
      </w:r>
      <w:r w:rsidRPr="00974B1F">
        <w:rPr>
          <w:b/>
          <w:sz w:val="22"/>
          <w:szCs w:val="22"/>
        </w:rPr>
        <w:t>related data and information</w:t>
      </w:r>
    </w:p>
    <w:p w14:paraId="54146BB8" w14:textId="6935F530" w:rsidR="003E295C" w:rsidRPr="00337C08" w:rsidRDefault="00FA5605" w:rsidP="003E295C">
      <w:pPr>
        <w:jc w:val="center"/>
        <w:rPr>
          <w:i/>
          <w:sz w:val="22"/>
          <w:szCs w:val="22"/>
        </w:rPr>
      </w:pPr>
      <w:r>
        <w:rPr>
          <w:i/>
          <w:sz w:val="22"/>
          <w:szCs w:val="22"/>
        </w:rPr>
        <w:t>November 15</w:t>
      </w:r>
      <w:r w:rsidR="003E295C" w:rsidRPr="00337C08">
        <w:rPr>
          <w:i/>
          <w:sz w:val="22"/>
          <w:szCs w:val="22"/>
        </w:rPr>
        <w:t>, 201</w:t>
      </w:r>
      <w:r w:rsidR="004D6099">
        <w:rPr>
          <w:i/>
          <w:sz w:val="22"/>
          <w:szCs w:val="22"/>
        </w:rPr>
        <w:t>8</w:t>
      </w:r>
    </w:p>
    <w:p w14:paraId="2E754E75" w14:textId="77777777" w:rsidR="003E295C" w:rsidRPr="00337C08" w:rsidRDefault="003E295C" w:rsidP="003E295C">
      <w:pPr>
        <w:jc w:val="center"/>
        <w:rPr>
          <w:i/>
          <w:sz w:val="22"/>
          <w:szCs w:val="22"/>
        </w:rPr>
      </w:pPr>
    </w:p>
    <w:p w14:paraId="185FED9C" w14:textId="2EA0E029" w:rsidR="00E22377" w:rsidRDefault="00A2347C" w:rsidP="00E22377">
      <w:pPr>
        <w:jc w:val="both"/>
        <w:rPr>
          <w:sz w:val="22"/>
          <w:szCs w:val="22"/>
        </w:rPr>
      </w:pPr>
      <w:r>
        <w:rPr>
          <w:sz w:val="22"/>
          <w:szCs w:val="22"/>
        </w:rPr>
        <w:t xml:space="preserve">Our organizations </w:t>
      </w:r>
      <w:r w:rsidR="003E295C" w:rsidRPr="00337C08">
        <w:rPr>
          <w:sz w:val="22"/>
          <w:szCs w:val="22"/>
        </w:rPr>
        <w:t xml:space="preserve">appreciate the opportunity to provide this </w:t>
      </w:r>
      <w:r w:rsidR="00FA5605">
        <w:rPr>
          <w:sz w:val="22"/>
          <w:szCs w:val="22"/>
        </w:rPr>
        <w:t>submission</w:t>
      </w:r>
      <w:r w:rsidR="003E295C" w:rsidRPr="00337C08">
        <w:rPr>
          <w:sz w:val="22"/>
          <w:szCs w:val="22"/>
        </w:rPr>
        <w:t xml:space="preserve"> to the </w:t>
      </w:r>
      <w:r w:rsidR="00FA5605">
        <w:rPr>
          <w:sz w:val="22"/>
          <w:szCs w:val="22"/>
        </w:rPr>
        <w:t>Special Rapporteur on Violence Against Women</w:t>
      </w:r>
      <w:r w:rsidR="00570DC7">
        <w:rPr>
          <w:sz w:val="22"/>
          <w:szCs w:val="22"/>
        </w:rPr>
        <w:t xml:space="preserve">, its causes and consequences (Special Rapporteur) </w:t>
      </w:r>
      <w:r w:rsidR="00974B1F">
        <w:rPr>
          <w:sz w:val="22"/>
          <w:szCs w:val="22"/>
        </w:rPr>
        <w:t>in response to</w:t>
      </w:r>
      <w:r w:rsidR="00FA5605">
        <w:rPr>
          <w:sz w:val="22"/>
          <w:szCs w:val="22"/>
        </w:rPr>
        <w:t xml:space="preserve"> her call </w:t>
      </w:r>
      <w:r w:rsidR="00570DC7">
        <w:rPr>
          <w:sz w:val="22"/>
          <w:szCs w:val="22"/>
        </w:rPr>
        <w:t>for</w:t>
      </w:r>
      <w:r w:rsidR="00FA5605">
        <w:rPr>
          <w:sz w:val="22"/>
          <w:szCs w:val="22"/>
        </w:rPr>
        <w:t xml:space="preserve"> femicide</w:t>
      </w:r>
      <w:r w:rsidR="00570DC7">
        <w:rPr>
          <w:sz w:val="22"/>
          <w:szCs w:val="22"/>
        </w:rPr>
        <w:t>-</w:t>
      </w:r>
      <w:r w:rsidR="00FA5605">
        <w:rPr>
          <w:sz w:val="22"/>
          <w:szCs w:val="22"/>
        </w:rPr>
        <w:t>related data an</w:t>
      </w:r>
      <w:r w:rsidR="00570DC7">
        <w:rPr>
          <w:sz w:val="22"/>
          <w:szCs w:val="22"/>
        </w:rPr>
        <w:t>d</w:t>
      </w:r>
      <w:r w:rsidR="00FA5605">
        <w:rPr>
          <w:sz w:val="22"/>
          <w:szCs w:val="22"/>
        </w:rPr>
        <w:t xml:space="preserve"> information</w:t>
      </w:r>
      <w:r w:rsidR="00974B1F">
        <w:rPr>
          <w:sz w:val="22"/>
          <w:szCs w:val="22"/>
        </w:rPr>
        <w:t xml:space="preserve"> and, more generally, in support of her efforts to analyze the causes of femicide and call for its preventio</w:t>
      </w:r>
      <w:r>
        <w:rPr>
          <w:sz w:val="22"/>
          <w:szCs w:val="22"/>
        </w:rPr>
        <w:t>n.</w:t>
      </w:r>
      <w:r w:rsidR="00E22377">
        <w:rPr>
          <w:sz w:val="22"/>
          <w:szCs w:val="22"/>
        </w:rPr>
        <w:t xml:space="preserve"> This submission focuses on these issues as they relate to femicide and women and girls with disabilities.</w:t>
      </w:r>
    </w:p>
    <w:p w14:paraId="3C684741" w14:textId="07826CCC" w:rsidR="00DC18B1" w:rsidRDefault="00DC18B1" w:rsidP="00DC18B1">
      <w:pPr>
        <w:jc w:val="both"/>
        <w:rPr>
          <w:sz w:val="22"/>
          <w:szCs w:val="22"/>
        </w:rPr>
      </w:pPr>
    </w:p>
    <w:p w14:paraId="340E060D" w14:textId="757656F6" w:rsidR="00140DCD" w:rsidRDefault="00DC18B1" w:rsidP="00DC18B1">
      <w:pPr>
        <w:jc w:val="both"/>
        <w:rPr>
          <w:sz w:val="22"/>
          <w:szCs w:val="22"/>
        </w:rPr>
      </w:pPr>
      <w:r w:rsidRPr="00124536">
        <w:rPr>
          <w:sz w:val="22"/>
          <w:szCs w:val="22"/>
        </w:rPr>
        <w:t>According to the World Health Organization and the World Bank, women and girls with disabilities</w:t>
      </w:r>
      <w:r w:rsidRPr="00124536">
        <w:rPr>
          <w:rStyle w:val="EndnoteReference"/>
          <w:sz w:val="22"/>
          <w:szCs w:val="22"/>
        </w:rPr>
        <w:endnoteReference w:id="1"/>
      </w:r>
      <w:r w:rsidRPr="00124536">
        <w:rPr>
          <w:sz w:val="22"/>
          <w:szCs w:val="22"/>
        </w:rPr>
        <w:t xml:space="preserve"> constitute 19.2% of women worldwide, making up a substantial portion of the global population.</w:t>
      </w:r>
      <w:r w:rsidRPr="00124536">
        <w:rPr>
          <w:rStyle w:val="EndnoteReference"/>
          <w:sz w:val="22"/>
          <w:szCs w:val="22"/>
        </w:rPr>
        <w:endnoteReference w:id="2"/>
      </w:r>
      <w:r w:rsidRPr="00124536">
        <w:rPr>
          <w:sz w:val="22"/>
          <w:szCs w:val="22"/>
        </w:rPr>
        <w:t xml:space="preserve"> Due to discrimination based on both their gender and disability, women with disabilities experience violations of their rights that are distinct from </w:t>
      </w:r>
      <w:r w:rsidR="00570DC7">
        <w:rPr>
          <w:sz w:val="22"/>
          <w:szCs w:val="22"/>
        </w:rPr>
        <w:t xml:space="preserve">and disproportionate to </w:t>
      </w:r>
      <w:r w:rsidRPr="00124536">
        <w:rPr>
          <w:sz w:val="22"/>
          <w:szCs w:val="22"/>
        </w:rPr>
        <w:t>those experienced by other women. In particular, women with disabilities experience gender-based violence, including domestic violence, at higher rates than other women, and the violence they experience also has unique forms, causes, and consequences.</w:t>
      </w:r>
      <w:r w:rsidRPr="00124536">
        <w:rPr>
          <w:rStyle w:val="EndnoteReference"/>
          <w:sz w:val="22"/>
          <w:szCs w:val="22"/>
        </w:rPr>
        <w:endnoteReference w:id="3"/>
      </w:r>
      <w:r w:rsidRPr="00124536">
        <w:rPr>
          <w:sz w:val="22"/>
          <w:szCs w:val="22"/>
        </w:rPr>
        <w:t xml:space="preserve"> Girls with disabilities are also more frequently victims of</w:t>
      </w:r>
      <w:r w:rsidR="00F4529A">
        <w:rPr>
          <w:sz w:val="22"/>
          <w:szCs w:val="22"/>
        </w:rPr>
        <w:t xml:space="preserve"> violence, including</w:t>
      </w:r>
      <w:r w:rsidRPr="00124536">
        <w:rPr>
          <w:sz w:val="22"/>
          <w:szCs w:val="22"/>
        </w:rPr>
        <w:t xml:space="preserve"> infanticide</w:t>
      </w:r>
      <w:r w:rsidR="00F4529A">
        <w:rPr>
          <w:sz w:val="22"/>
          <w:szCs w:val="22"/>
        </w:rPr>
        <w:t>, in</w:t>
      </w:r>
      <w:r w:rsidRPr="00124536">
        <w:rPr>
          <w:sz w:val="22"/>
          <w:szCs w:val="22"/>
        </w:rPr>
        <w:t xml:space="preserve"> circumstances where their lives are devalued as a result of stereotypes on the basis of both their gender and disability.</w:t>
      </w:r>
      <w:r w:rsidR="00570DC7">
        <w:rPr>
          <w:sz w:val="22"/>
          <w:szCs w:val="22"/>
        </w:rPr>
        <w:t xml:space="preserve"> </w:t>
      </w:r>
    </w:p>
    <w:p w14:paraId="55A59333" w14:textId="77777777" w:rsidR="00140DCD" w:rsidRDefault="00140DCD" w:rsidP="00DC18B1">
      <w:pPr>
        <w:jc w:val="both"/>
        <w:rPr>
          <w:sz w:val="22"/>
          <w:szCs w:val="22"/>
        </w:rPr>
      </w:pPr>
    </w:p>
    <w:p w14:paraId="286492DD" w14:textId="2D75D018" w:rsidR="00DC18B1" w:rsidRPr="00124536" w:rsidRDefault="00140DCD" w:rsidP="00DC18B1">
      <w:pPr>
        <w:jc w:val="both"/>
        <w:rPr>
          <w:sz w:val="22"/>
          <w:szCs w:val="22"/>
        </w:rPr>
      </w:pPr>
      <w:r>
        <w:rPr>
          <w:sz w:val="22"/>
          <w:szCs w:val="22"/>
          <w:lang w:val="en-GB"/>
        </w:rPr>
        <w:t>As the Special Rapporteur has found</w:t>
      </w:r>
      <w:r w:rsidR="00870AC2">
        <w:rPr>
          <w:sz w:val="22"/>
          <w:szCs w:val="22"/>
          <w:lang w:val="en-GB"/>
        </w:rPr>
        <w:t>, femicide</w:t>
      </w:r>
      <w:r w:rsidRPr="00F7634B">
        <w:rPr>
          <w:sz w:val="22"/>
          <w:szCs w:val="22"/>
          <w:lang w:val="en-GB"/>
        </w:rPr>
        <w:t xml:space="preserve"> constitute</w:t>
      </w:r>
      <w:r w:rsidR="00870AC2">
        <w:rPr>
          <w:sz w:val="22"/>
          <w:szCs w:val="22"/>
          <w:lang w:val="en-GB"/>
        </w:rPr>
        <w:t>s</w:t>
      </w:r>
      <w:r w:rsidRPr="00F7634B">
        <w:rPr>
          <w:sz w:val="22"/>
          <w:szCs w:val="22"/>
          <w:lang w:val="en-GB"/>
        </w:rPr>
        <w:t xml:space="preserve"> “the most extreme form of violence against women and the most violent manifestation of discrimination against women and their inequality.”</w:t>
      </w:r>
      <w:r w:rsidRPr="00F7634B">
        <w:rPr>
          <w:rStyle w:val="EndnoteReference"/>
          <w:sz w:val="22"/>
          <w:szCs w:val="22"/>
          <w:lang w:val="en-GB"/>
        </w:rPr>
        <w:endnoteReference w:id="4"/>
      </w:r>
      <w:r w:rsidRPr="00F7634B">
        <w:rPr>
          <w:sz w:val="22"/>
          <w:szCs w:val="22"/>
          <w:lang w:val="en-GB"/>
        </w:rPr>
        <w:t xml:space="preserve"> </w:t>
      </w:r>
      <w:r w:rsidR="00870AC2">
        <w:rPr>
          <w:sz w:val="22"/>
          <w:szCs w:val="22"/>
        </w:rPr>
        <w:t>D</w:t>
      </w:r>
      <w:r>
        <w:rPr>
          <w:sz w:val="22"/>
          <w:szCs w:val="22"/>
        </w:rPr>
        <w:t>espite the acknowledged higher rates of violence against women with disabilities,</w:t>
      </w:r>
      <w:r w:rsidR="00870AC2">
        <w:rPr>
          <w:sz w:val="22"/>
          <w:szCs w:val="22"/>
        </w:rPr>
        <w:t xml:space="preserve"> however,</w:t>
      </w:r>
      <w:r>
        <w:rPr>
          <w:sz w:val="22"/>
          <w:szCs w:val="22"/>
        </w:rPr>
        <w:t xml:space="preserve"> fem</w:t>
      </w:r>
      <w:r w:rsidR="005F0BE6">
        <w:rPr>
          <w:sz w:val="22"/>
          <w:szCs w:val="22"/>
        </w:rPr>
        <w:t>i</w:t>
      </w:r>
      <w:r>
        <w:rPr>
          <w:sz w:val="22"/>
          <w:szCs w:val="22"/>
        </w:rPr>
        <w:t>cides</w:t>
      </w:r>
      <w:r w:rsidR="00570DC7">
        <w:rPr>
          <w:sz w:val="22"/>
          <w:szCs w:val="22"/>
        </w:rPr>
        <w:t xml:space="preserve"> of women with disabilities </w:t>
      </w:r>
      <w:r w:rsidR="00870AC2">
        <w:rPr>
          <w:sz w:val="22"/>
          <w:szCs w:val="22"/>
        </w:rPr>
        <w:t>remain</w:t>
      </w:r>
      <w:r>
        <w:rPr>
          <w:sz w:val="22"/>
          <w:szCs w:val="22"/>
        </w:rPr>
        <w:t xml:space="preserve"> a largely invisible problem, as data on this issue is not</w:t>
      </w:r>
      <w:r w:rsidR="00570DC7">
        <w:rPr>
          <w:sz w:val="22"/>
          <w:szCs w:val="22"/>
        </w:rPr>
        <w:t xml:space="preserve"> consistently collected and, in most cases, remains anecdotal</w:t>
      </w:r>
      <w:r>
        <w:rPr>
          <w:sz w:val="22"/>
          <w:szCs w:val="22"/>
        </w:rPr>
        <w:t xml:space="preserve"> if it is collected at all.</w:t>
      </w:r>
    </w:p>
    <w:p w14:paraId="356303D9" w14:textId="77777777" w:rsidR="00DC18B1" w:rsidRPr="00124536" w:rsidRDefault="00DC18B1" w:rsidP="00DC18B1">
      <w:pPr>
        <w:jc w:val="both"/>
        <w:rPr>
          <w:sz w:val="22"/>
          <w:szCs w:val="22"/>
        </w:rPr>
      </w:pPr>
    </w:p>
    <w:p w14:paraId="39352AC4" w14:textId="796DB7EB" w:rsidR="00F524F7" w:rsidRDefault="00DC18B1" w:rsidP="00DC18B1">
      <w:pPr>
        <w:jc w:val="both"/>
        <w:rPr>
          <w:sz w:val="22"/>
          <w:szCs w:val="22"/>
        </w:rPr>
      </w:pPr>
      <w:r w:rsidRPr="00124536">
        <w:rPr>
          <w:sz w:val="22"/>
          <w:szCs w:val="22"/>
        </w:rPr>
        <w:t xml:space="preserve">Through this submission, we hope to begin a dialogue with the Special Rapporteur on an intersectional gender-sensitive and disability-sensitive approach to </w:t>
      </w:r>
      <w:r>
        <w:rPr>
          <w:sz w:val="22"/>
          <w:szCs w:val="22"/>
        </w:rPr>
        <w:t xml:space="preserve">violence against women with disabilities, </w:t>
      </w:r>
      <w:r w:rsidR="00570DC7">
        <w:rPr>
          <w:sz w:val="22"/>
          <w:szCs w:val="22"/>
        </w:rPr>
        <w:t xml:space="preserve">particularly femicide, </w:t>
      </w:r>
      <w:r w:rsidR="0072161C">
        <w:rPr>
          <w:sz w:val="22"/>
          <w:szCs w:val="22"/>
        </w:rPr>
        <w:t>as well as to highlight the lack of disaggregated data on this issue worldwide</w:t>
      </w:r>
      <w:r w:rsidR="0072161C" w:rsidRPr="00124536">
        <w:rPr>
          <w:sz w:val="22"/>
          <w:szCs w:val="22"/>
        </w:rPr>
        <w:t>.</w:t>
      </w:r>
      <w:r w:rsidR="0072161C">
        <w:rPr>
          <w:sz w:val="22"/>
          <w:szCs w:val="22"/>
        </w:rPr>
        <w:t xml:space="preserve"> </w:t>
      </w:r>
      <w:r w:rsidR="00974B1F">
        <w:rPr>
          <w:sz w:val="22"/>
          <w:szCs w:val="22"/>
        </w:rPr>
        <w:t xml:space="preserve">Prepared in consultation with local </w:t>
      </w:r>
      <w:r w:rsidR="00570DC7">
        <w:rPr>
          <w:sz w:val="22"/>
          <w:szCs w:val="22"/>
        </w:rPr>
        <w:t>organizations of women with disabilities</w:t>
      </w:r>
      <w:r w:rsidR="00140DCD">
        <w:rPr>
          <w:sz w:val="22"/>
          <w:szCs w:val="22"/>
        </w:rPr>
        <w:t xml:space="preserve"> </w:t>
      </w:r>
      <w:r w:rsidR="00974B1F">
        <w:rPr>
          <w:sz w:val="22"/>
          <w:szCs w:val="22"/>
        </w:rPr>
        <w:t xml:space="preserve">around the world, </w:t>
      </w:r>
      <w:r w:rsidRPr="00124536">
        <w:rPr>
          <w:sz w:val="22"/>
          <w:szCs w:val="22"/>
        </w:rPr>
        <w:t xml:space="preserve">this submission </w:t>
      </w:r>
      <w:r w:rsidR="00500381">
        <w:rPr>
          <w:sz w:val="22"/>
          <w:szCs w:val="22"/>
        </w:rPr>
        <w:t>begins with a discussion of the lack of data on femicide as it affects women with disabilities. The submission then provides background information on some forms of violence against women, including domestic violence and infanticide,</w:t>
      </w:r>
      <w:r w:rsidR="00870AC2">
        <w:rPr>
          <w:sz w:val="22"/>
          <w:szCs w:val="22"/>
        </w:rPr>
        <w:t xml:space="preserve"> that could lead to or constitute femicide and</w:t>
      </w:r>
      <w:r w:rsidR="00500381">
        <w:rPr>
          <w:sz w:val="22"/>
          <w:szCs w:val="22"/>
        </w:rPr>
        <w:t xml:space="preserve"> to which women with disabilities are disproportionately subjected, </w:t>
      </w:r>
      <w:r w:rsidRPr="00124536">
        <w:rPr>
          <w:sz w:val="22"/>
          <w:szCs w:val="22"/>
        </w:rPr>
        <w:t>outlin</w:t>
      </w:r>
      <w:r w:rsidR="00870AC2">
        <w:rPr>
          <w:sz w:val="22"/>
          <w:szCs w:val="22"/>
        </w:rPr>
        <w:t>ing</w:t>
      </w:r>
      <w:r w:rsidRPr="00124536">
        <w:rPr>
          <w:sz w:val="22"/>
          <w:szCs w:val="22"/>
        </w:rPr>
        <w:t xml:space="preserve"> how stigma, discrimination, and lack of social supports perpetuate th</w:t>
      </w:r>
      <w:r w:rsidR="00500381">
        <w:rPr>
          <w:sz w:val="22"/>
          <w:szCs w:val="22"/>
        </w:rPr>
        <w:t>ese</w:t>
      </w:r>
      <w:r w:rsidRPr="00124536">
        <w:rPr>
          <w:sz w:val="22"/>
          <w:szCs w:val="22"/>
        </w:rPr>
        <w:t xml:space="preserve"> practice</w:t>
      </w:r>
      <w:r w:rsidR="00500381">
        <w:rPr>
          <w:sz w:val="22"/>
          <w:szCs w:val="22"/>
        </w:rPr>
        <w:t>s</w:t>
      </w:r>
      <w:r w:rsidRPr="00124536">
        <w:rPr>
          <w:sz w:val="22"/>
          <w:szCs w:val="22"/>
        </w:rPr>
        <w:t xml:space="preserve">. Finally, this submission provides some brief recommendations </w:t>
      </w:r>
      <w:r w:rsidR="00500381">
        <w:rPr>
          <w:sz w:val="22"/>
          <w:szCs w:val="22"/>
        </w:rPr>
        <w:t>to</w:t>
      </w:r>
      <w:r w:rsidRPr="00124536">
        <w:rPr>
          <w:sz w:val="22"/>
          <w:szCs w:val="22"/>
        </w:rPr>
        <w:t xml:space="preserve"> the Special Rapporteur</w:t>
      </w:r>
      <w:r w:rsidR="00500381">
        <w:rPr>
          <w:sz w:val="22"/>
          <w:szCs w:val="22"/>
        </w:rPr>
        <w:t xml:space="preserve"> as she</w:t>
      </w:r>
      <w:r w:rsidR="00570DC7">
        <w:rPr>
          <w:sz w:val="22"/>
          <w:szCs w:val="22"/>
        </w:rPr>
        <w:t xml:space="preserve"> continues to work on the issue of femicide</w:t>
      </w:r>
      <w:r w:rsidR="00870AC2">
        <w:rPr>
          <w:sz w:val="22"/>
          <w:szCs w:val="22"/>
        </w:rPr>
        <w:t xml:space="preserve">, </w:t>
      </w:r>
      <w:r w:rsidRPr="00124536">
        <w:rPr>
          <w:sz w:val="22"/>
          <w:szCs w:val="22"/>
        </w:rPr>
        <w:t xml:space="preserve">with the hope that she will specifically include issues affecting women with disabilities in forthcoming </w:t>
      </w:r>
      <w:r w:rsidR="00570DC7">
        <w:rPr>
          <w:sz w:val="22"/>
          <w:szCs w:val="22"/>
        </w:rPr>
        <w:t>work on this issue.</w:t>
      </w:r>
      <w:r w:rsidR="00CB5B5F">
        <w:rPr>
          <w:sz w:val="22"/>
          <w:szCs w:val="22"/>
        </w:rPr>
        <w:t xml:space="preserve"> We have also included four annexes (A-D) with more specific information provided by organizations of women with disabilities, for the Special Rapporteur’s reference.</w:t>
      </w:r>
    </w:p>
    <w:p w14:paraId="3B0B919F" w14:textId="45DE4F70" w:rsidR="0072161C" w:rsidRDefault="0072161C" w:rsidP="00DC18B1">
      <w:pPr>
        <w:jc w:val="both"/>
        <w:rPr>
          <w:sz w:val="22"/>
          <w:szCs w:val="22"/>
        </w:rPr>
      </w:pPr>
    </w:p>
    <w:p w14:paraId="7C9A4AE2" w14:textId="79F746AE" w:rsidR="0072161C" w:rsidRPr="0072161C" w:rsidRDefault="0072161C" w:rsidP="0072161C">
      <w:pPr>
        <w:pStyle w:val="ListParagraph"/>
        <w:numPr>
          <w:ilvl w:val="0"/>
          <w:numId w:val="7"/>
        </w:numPr>
        <w:jc w:val="both"/>
        <w:rPr>
          <w:b/>
          <w:sz w:val="22"/>
          <w:szCs w:val="22"/>
        </w:rPr>
      </w:pPr>
      <w:r w:rsidRPr="0072161C">
        <w:rPr>
          <w:b/>
          <w:sz w:val="22"/>
          <w:szCs w:val="22"/>
        </w:rPr>
        <w:t>Lack of disaggregated data and information on femicides of women with disabilities</w:t>
      </w:r>
    </w:p>
    <w:p w14:paraId="49529413" w14:textId="77777777" w:rsidR="00F524F7" w:rsidRDefault="00F524F7" w:rsidP="00DC18B1">
      <w:pPr>
        <w:jc w:val="both"/>
        <w:rPr>
          <w:sz w:val="22"/>
          <w:szCs w:val="22"/>
        </w:rPr>
      </w:pPr>
    </w:p>
    <w:p w14:paraId="5E7E88F1" w14:textId="0D7F2864" w:rsidR="000773C7" w:rsidRDefault="00500381" w:rsidP="0072161C">
      <w:pPr>
        <w:jc w:val="both"/>
        <w:rPr>
          <w:sz w:val="22"/>
          <w:szCs w:val="22"/>
        </w:rPr>
      </w:pPr>
      <w:r>
        <w:rPr>
          <w:sz w:val="22"/>
          <w:szCs w:val="22"/>
        </w:rPr>
        <w:t>O</w:t>
      </w:r>
      <w:r w:rsidRPr="00124536">
        <w:rPr>
          <w:sz w:val="22"/>
          <w:szCs w:val="22"/>
        </w:rPr>
        <w:t>btaining accurate data on women and girls with disabilities is a major barrier to fully understanding the phenomen</w:t>
      </w:r>
      <w:r w:rsidR="00F4529A">
        <w:rPr>
          <w:sz w:val="22"/>
          <w:szCs w:val="22"/>
        </w:rPr>
        <w:t>on</w:t>
      </w:r>
      <w:r w:rsidRPr="00124536">
        <w:rPr>
          <w:sz w:val="22"/>
          <w:szCs w:val="22"/>
        </w:rPr>
        <w:t xml:space="preserve"> of femicide</w:t>
      </w:r>
      <w:r>
        <w:rPr>
          <w:sz w:val="22"/>
          <w:szCs w:val="22"/>
        </w:rPr>
        <w:t xml:space="preserve">. </w:t>
      </w:r>
      <w:r w:rsidR="002D1038" w:rsidRPr="00124536">
        <w:rPr>
          <w:sz w:val="22"/>
          <w:szCs w:val="22"/>
        </w:rPr>
        <w:t>It is generally estimated that women and girls with disabilities are at least two to three times more likely than women without disabilities to experience violence and abuse in various spheres,</w:t>
      </w:r>
      <w:r w:rsidR="002D1038" w:rsidRPr="00124536">
        <w:rPr>
          <w:sz w:val="22"/>
          <w:szCs w:val="22"/>
          <w:vertAlign w:val="superscript"/>
        </w:rPr>
        <w:endnoteReference w:id="5"/>
      </w:r>
      <w:r w:rsidR="002D1038" w:rsidRPr="00124536">
        <w:rPr>
          <w:sz w:val="22"/>
          <w:szCs w:val="22"/>
        </w:rPr>
        <w:t xml:space="preserve"> but no global data exists on the incidence of such violence, and studies draw on different sources of data. </w:t>
      </w:r>
      <w:r w:rsidR="00E843AE" w:rsidRPr="00124536">
        <w:rPr>
          <w:sz w:val="22"/>
          <w:szCs w:val="22"/>
        </w:rPr>
        <w:t>Infanticide committed against girls with disabilities is a similarly under-documented phenomenon</w:t>
      </w:r>
      <w:r>
        <w:rPr>
          <w:sz w:val="22"/>
          <w:szCs w:val="22"/>
        </w:rPr>
        <w:t>, though infanticide against children with disabilities seems to be practiced in several countrie</w:t>
      </w:r>
      <w:r w:rsidR="00870AC2">
        <w:rPr>
          <w:sz w:val="22"/>
          <w:szCs w:val="22"/>
        </w:rPr>
        <w:t>s</w:t>
      </w:r>
      <w:r>
        <w:rPr>
          <w:sz w:val="22"/>
          <w:szCs w:val="22"/>
        </w:rPr>
        <w:t xml:space="preserve"> (see Section II</w:t>
      </w:r>
      <w:r w:rsidR="00524805">
        <w:rPr>
          <w:sz w:val="22"/>
          <w:szCs w:val="22"/>
        </w:rPr>
        <w:t>.B</w:t>
      </w:r>
      <w:r>
        <w:rPr>
          <w:sz w:val="22"/>
          <w:szCs w:val="22"/>
        </w:rPr>
        <w:t xml:space="preserve"> below). </w:t>
      </w:r>
      <w:r w:rsidR="00870AC2">
        <w:rPr>
          <w:sz w:val="22"/>
          <w:szCs w:val="22"/>
        </w:rPr>
        <w:t>O</w:t>
      </w:r>
      <w:r>
        <w:rPr>
          <w:sz w:val="22"/>
          <w:szCs w:val="22"/>
        </w:rPr>
        <w:t xml:space="preserve">rganizations of women with disabilities in Poland, </w:t>
      </w:r>
      <w:r w:rsidR="00F4529A">
        <w:rPr>
          <w:sz w:val="22"/>
          <w:szCs w:val="22"/>
        </w:rPr>
        <w:t>the Caribbean</w:t>
      </w:r>
      <w:r>
        <w:rPr>
          <w:sz w:val="22"/>
          <w:szCs w:val="22"/>
        </w:rPr>
        <w:t xml:space="preserve">, and Indonesia reported </w:t>
      </w:r>
      <w:r w:rsidR="00870AC2">
        <w:rPr>
          <w:sz w:val="22"/>
          <w:szCs w:val="22"/>
        </w:rPr>
        <w:t xml:space="preserve">to WEI </w:t>
      </w:r>
      <w:r>
        <w:rPr>
          <w:sz w:val="22"/>
          <w:szCs w:val="22"/>
        </w:rPr>
        <w:t>that they could not find any data on the issue of femicide in their States</w:t>
      </w:r>
      <w:r w:rsidR="00F4529A">
        <w:rPr>
          <w:sz w:val="22"/>
          <w:szCs w:val="22"/>
        </w:rPr>
        <w:t xml:space="preserve"> or regions</w:t>
      </w:r>
      <w:r>
        <w:rPr>
          <w:sz w:val="22"/>
          <w:szCs w:val="22"/>
        </w:rPr>
        <w:t xml:space="preserve"> that was disaggregated by disability, if such information existed at all, and organizations in Mexico and Nigeria similarly reported anecdotal evidence of violence and femicide against women more broadly or women </w:t>
      </w:r>
      <w:r>
        <w:rPr>
          <w:sz w:val="22"/>
          <w:szCs w:val="22"/>
        </w:rPr>
        <w:lastRenderedPageBreak/>
        <w:t>with disabilities specifically but were not able to find data on the issue.</w:t>
      </w:r>
      <w:r>
        <w:rPr>
          <w:rStyle w:val="EndnoteReference"/>
          <w:sz w:val="22"/>
          <w:szCs w:val="22"/>
        </w:rPr>
        <w:endnoteReference w:id="6"/>
      </w:r>
      <w:r>
        <w:rPr>
          <w:sz w:val="22"/>
          <w:szCs w:val="22"/>
        </w:rPr>
        <w:t xml:space="preserve"> </w:t>
      </w:r>
      <w:r w:rsidR="00870AC2">
        <w:rPr>
          <w:sz w:val="22"/>
          <w:szCs w:val="22"/>
        </w:rPr>
        <w:t>This absence of data comes despite the requirements of Article 10 of the Convention on the Rights of Persons with Disabilities (CRPD) to ensure the right to life for persons with disabilities on an equal basis with others and Article 31 of the CRPD to collect data disaggregated by disability.</w:t>
      </w:r>
      <w:r w:rsidR="00870AC2">
        <w:rPr>
          <w:rStyle w:val="EndnoteReference"/>
          <w:sz w:val="22"/>
          <w:szCs w:val="22"/>
        </w:rPr>
        <w:endnoteReference w:id="7"/>
      </w:r>
    </w:p>
    <w:p w14:paraId="7263725D" w14:textId="77777777" w:rsidR="00500381" w:rsidRDefault="00500381" w:rsidP="00683FFA">
      <w:pPr>
        <w:jc w:val="both"/>
        <w:rPr>
          <w:sz w:val="22"/>
          <w:szCs w:val="22"/>
        </w:rPr>
      </w:pPr>
    </w:p>
    <w:p w14:paraId="5D48913F" w14:textId="726A425F" w:rsidR="00500381" w:rsidRDefault="00683FFA" w:rsidP="00683FFA">
      <w:pPr>
        <w:jc w:val="both"/>
        <w:rPr>
          <w:sz w:val="22"/>
          <w:szCs w:val="22"/>
        </w:rPr>
      </w:pPr>
      <w:r>
        <w:rPr>
          <w:sz w:val="22"/>
          <w:szCs w:val="22"/>
        </w:rPr>
        <w:t>In line with the Special Rapporteur</w:t>
      </w:r>
      <w:r w:rsidR="00570DC7">
        <w:rPr>
          <w:sz w:val="22"/>
          <w:szCs w:val="22"/>
        </w:rPr>
        <w:t>’s</w:t>
      </w:r>
      <w:r>
        <w:rPr>
          <w:sz w:val="22"/>
          <w:szCs w:val="22"/>
        </w:rPr>
        <w:t xml:space="preserve"> call to create Femicide Watches,</w:t>
      </w:r>
      <w:r w:rsidR="008B17DD">
        <w:rPr>
          <w:sz w:val="22"/>
          <w:szCs w:val="22"/>
        </w:rPr>
        <w:t xml:space="preserve"> </w:t>
      </w:r>
      <w:r w:rsidR="00805055">
        <w:rPr>
          <w:sz w:val="22"/>
          <w:szCs w:val="22"/>
        </w:rPr>
        <w:t xml:space="preserve">some States have instituted </w:t>
      </w:r>
      <w:r>
        <w:rPr>
          <w:sz w:val="22"/>
          <w:szCs w:val="22"/>
        </w:rPr>
        <w:t>local and regional</w:t>
      </w:r>
      <w:r w:rsidR="008B17DD">
        <w:rPr>
          <w:sz w:val="22"/>
          <w:szCs w:val="22"/>
        </w:rPr>
        <w:t xml:space="preserve"> efforts to generate data and information about femicides </w:t>
      </w:r>
      <w:r w:rsidR="002D1038">
        <w:rPr>
          <w:sz w:val="22"/>
          <w:szCs w:val="22"/>
        </w:rPr>
        <w:t>in line with their international obligations to prevent and end violence against wome</w:t>
      </w:r>
      <w:r>
        <w:rPr>
          <w:sz w:val="22"/>
          <w:szCs w:val="22"/>
        </w:rPr>
        <w:t>n.</w:t>
      </w:r>
      <w:r w:rsidR="005C4E32">
        <w:rPr>
          <w:rStyle w:val="EndnoteReference"/>
          <w:sz w:val="22"/>
          <w:szCs w:val="22"/>
        </w:rPr>
        <w:endnoteReference w:id="8"/>
      </w:r>
      <w:r>
        <w:rPr>
          <w:sz w:val="22"/>
          <w:szCs w:val="22"/>
        </w:rPr>
        <w:t xml:space="preserve"> Some of these initiatives also follow the recommendation of the Special Rapporteur in her last report</w:t>
      </w:r>
      <w:r w:rsidR="00500381">
        <w:rPr>
          <w:sz w:val="22"/>
          <w:szCs w:val="22"/>
        </w:rPr>
        <w:t xml:space="preserve">, </w:t>
      </w:r>
      <w:r>
        <w:rPr>
          <w:sz w:val="22"/>
          <w:szCs w:val="22"/>
        </w:rPr>
        <w:t>according to which the “</w:t>
      </w:r>
      <w:r w:rsidRPr="00683FFA">
        <w:rPr>
          <w:sz w:val="22"/>
          <w:szCs w:val="22"/>
        </w:rPr>
        <w:t>data on the</w:t>
      </w:r>
      <w:r w:rsidR="00500381">
        <w:rPr>
          <w:sz w:val="22"/>
          <w:szCs w:val="22"/>
        </w:rPr>
        <w:t xml:space="preserve"> </w:t>
      </w:r>
      <w:r w:rsidRPr="00683FFA">
        <w:rPr>
          <w:sz w:val="22"/>
          <w:szCs w:val="22"/>
        </w:rPr>
        <w:t>number of femicides or cases of gender-related killings of women</w:t>
      </w:r>
      <w:r>
        <w:rPr>
          <w:sz w:val="22"/>
          <w:szCs w:val="22"/>
        </w:rPr>
        <w:t xml:space="preserve"> [should be]</w:t>
      </w:r>
      <w:r w:rsidRPr="00683FFA">
        <w:rPr>
          <w:sz w:val="22"/>
          <w:szCs w:val="22"/>
        </w:rPr>
        <w:t xml:space="preserve"> disaggregated by age</w:t>
      </w:r>
      <w:r w:rsidR="00500381">
        <w:rPr>
          <w:sz w:val="22"/>
          <w:szCs w:val="22"/>
        </w:rPr>
        <w:t xml:space="preserve"> </w:t>
      </w:r>
      <w:r w:rsidRPr="00683FFA">
        <w:rPr>
          <w:sz w:val="22"/>
          <w:szCs w:val="22"/>
        </w:rPr>
        <w:t>and ethnicity of victims, and the sex of the perpetrators, and indicating the relationship</w:t>
      </w:r>
      <w:r>
        <w:rPr>
          <w:sz w:val="22"/>
          <w:szCs w:val="22"/>
        </w:rPr>
        <w:t xml:space="preserve"> </w:t>
      </w:r>
      <w:r w:rsidRPr="00683FFA">
        <w:rPr>
          <w:sz w:val="22"/>
          <w:szCs w:val="22"/>
        </w:rPr>
        <w:t>between the perpetrator and the victim or victims</w:t>
      </w:r>
      <w:r>
        <w:rPr>
          <w:sz w:val="22"/>
          <w:szCs w:val="22"/>
        </w:rPr>
        <w:t>.”</w:t>
      </w:r>
      <w:r>
        <w:rPr>
          <w:rStyle w:val="EndnoteReference"/>
          <w:sz w:val="22"/>
          <w:szCs w:val="22"/>
        </w:rPr>
        <w:endnoteReference w:id="9"/>
      </w:r>
      <w:r w:rsidR="008B17DD">
        <w:rPr>
          <w:sz w:val="22"/>
          <w:szCs w:val="22"/>
        </w:rPr>
        <w:t xml:space="preserve"> </w:t>
      </w:r>
      <w:r w:rsidR="004077F1">
        <w:rPr>
          <w:sz w:val="22"/>
          <w:szCs w:val="22"/>
        </w:rPr>
        <w:t>However, according</w:t>
      </w:r>
      <w:r w:rsidR="00570DC7">
        <w:rPr>
          <w:sz w:val="22"/>
          <w:szCs w:val="22"/>
        </w:rPr>
        <w:t xml:space="preserve"> to</w:t>
      </w:r>
      <w:r w:rsidR="004077F1">
        <w:rPr>
          <w:sz w:val="22"/>
          <w:szCs w:val="22"/>
        </w:rPr>
        <w:t xml:space="preserve"> our research</w:t>
      </w:r>
      <w:r w:rsidR="00570DC7">
        <w:rPr>
          <w:sz w:val="22"/>
          <w:szCs w:val="22"/>
        </w:rPr>
        <w:t xml:space="preserve"> and</w:t>
      </w:r>
      <w:r w:rsidR="00500381">
        <w:rPr>
          <w:sz w:val="22"/>
          <w:szCs w:val="22"/>
        </w:rPr>
        <w:t xml:space="preserve"> reports from local organization</w:t>
      </w:r>
      <w:r w:rsidR="00570DC7">
        <w:rPr>
          <w:sz w:val="22"/>
          <w:szCs w:val="22"/>
        </w:rPr>
        <w:t>s of women with disabilities</w:t>
      </w:r>
      <w:r w:rsidR="004077F1">
        <w:rPr>
          <w:sz w:val="22"/>
          <w:szCs w:val="22"/>
        </w:rPr>
        <w:t>, these initiatives do not disaggregate the information by disability,</w:t>
      </w:r>
      <w:r w:rsidR="001A0D81" w:rsidRPr="00524805">
        <w:rPr>
          <w:rStyle w:val="EndnoteReference"/>
          <w:sz w:val="22"/>
          <w:szCs w:val="22"/>
        </w:rPr>
        <w:endnoteReference w:id="10"/>
      </w:r>
      <w:r w:rsidR="004077F1">
        <w:rPr>
          <w:sz w:val="22"/>
          <w:szCs w:val="22"/>
        </w:rPr>
        <w:t xml:space="preserve"> which </w:t>
      </w:r>
      <w:r w:rsidR="00570DC7">
        <w:rPr>
          <w:sz w:val="22"/>
          <w:szCs w:val="22"/>
        </w:rPr>
        <w:t>is</w:t>
      </w:r>
      <w:r w:rsidR="004077F1">
        <w:rPr>
          <w:sz w:val="22"/>
          <w:szCs w:val="22"/>
        </w:rPr>
        <w:t xml:space="preserve"> necessary not only to better explain the phenomenon but also to fulfill other</w:t>
      </w:r>
      <w:r w:rsidR="00570DC7">
        <w:rPr>
          <w:sz w:val="22"/>
          <w:szCs w:val="22"/>
        </w:rPr>
        <w:t xml:space="preserve"> </w:t>
      </w:r>
      <w:r w:rsidR="004077F1">
        <w:rPr>
          <w:sz w:val="22"/>
          <w:szCs w:val="22"/>
        </w:rPr>
        <w:t>international human rights obligations</w:t>
      </w:r>
      <w:r w:rsidR="00524805" w:rsidRPr="00524805">
        <w:rPr>
          <w:sz w:val="22"/>
          <w:szCs w:val="22"/>
        </w:rPr>
        <w:t xml:space="preserve">, such us the obligation to collect information </w:t>
      </w:r>
      <w:r w:rsidR="001A0D81">
        <w:rPr>
          <w:sz w:val="22"/>
          <w:szCs w:val="22"/>
        </w:rPr>
        <w:t>under</w:t>
      </w:r>
      <w:r w:rsidR="00524805" w:rsidRPr="00524805">
        <w:rPr>
          <w:sz w:val="22"/>
          <w:szCs w:val="22"/>
        </w:rPr>
        <w:t xml:space="preserve"> Art</w:t>
      </w:r>
      <w:r w:rsidR="001A0D81">
        <w:rPr>
          <w:sz w:val="22"/>
          <w:szCs w:val="22"/>
        </w:rPr>
        <w:t>icles 10 and</w:t>
      </w:r>
      <w:r w:rsidR="00524805" w:rsidRPr="00524805">
        <w:rPr>
          <w:sz w:val="22"/>
          <w:szCs w:val="22"/>
        </w:rPr>
        <w:t xml:space="preserve"> 31</w:t>
      </w:r>
      <w:r w:rsidR="001A0D81">
        <w:rPr>
          <w:sz w:val="22"/>
          <w:szCs w:val="22"/>
        </w:rPr>
        <w:t xml:space="preserve"> of the CRPD, refer</w:t>
      </w:r>
      <w:r w:rsidR="00DB22C0">
        <w:rPr>
          <w:sz w:val="22"/>
          <w:szCs w:val="22"/>
        </w:rPr>
        <w:t>enced</w:t>
      </w:r>
      <w:r w:rsidR="001A0D81">
        <w:rPr>
          <w:sz w:val="22"/>
          <w:szCs w:val="22"/>
        </w:rPr>
        <w:t xml:space="preserve"> above</w:t>
      </w:r>
      <w:r w:rsidR="004077F1" w:rsidRPr="00524805">
        <w:rPr>
          <w:sz w:val="22"/>
          <w:szCs w:val="22"/>
        </w:rPr>
        <w:t>.</w:t>
      </w:r>
      <w:r w:rsidR="004077F1">
        <w:rPr>
          <w:sz w:val="22"/>
          <w:szCs w:val="22"/>
        </w:rPr>
        <w:t xml:space="preserve"> </w:t>
      </w:r>
    </w:p>
    <w:p w14:paraId="408F5464" w14:textId="77777777" w:rsidR="00500381" w:rsidRDefault="00500381" w:rsidP="00683FFA">
      <w:pPr>
        <w:jc w:val="both"/>
        <w:rPr>
          <w:sz w:val="22"/>
          <w:szCs w:val="22"/>
        </w:rPr>
      </w:pPr>
    </w:p>
    <w:p w14:paraId="44B3A8F4" w14:textId="2BD8D54B" w:rsidR="00E843AE" w:rsidRDefault="00500381" w:rsidP="00683FFA">
      <w:pPr>
        <w:jc w:val="both"/>
        <w:rPr>
          <w:sz w:val="22"/>
          <w:szCs w:val="22"/>
        </w:rPr>
      </w:pPr>
      <w:r>
        <w:rPr>
          <w:sz w:val="22"/>
          <w:szCs w:val="22"/>
        </w:rPr>
        <w:t xml:space="preserve">One recent positive, though incomplete, example of data collection on femicide that includes women with </w:t>
      </w:r>
      <w:r w:rsidRPr="00805055">
        <w:rPr>
          <w:sz w:val="22"/>
          <w:szCs w:val="22"/>
        </w:rPr>
        <w:t xml:space="preserve">disabilities comes out of Argentina. </w:t>
      </w:r>
      <w:r w:rsidR="004077F1" w:rsidRPr="00805055">
        <w:rPr>
          <w:sz w:val="22"/>
          <w:szCs w:val="22"/>
        </w:rPr>
        <w:t>In 2017</w:t>
      </w:r>
      <w:r w:rsidRPr="00805055">
        <w:rPr>
          <w:sz w:val="22"/>
          <w:szCs w:val="22"/>
        </w:rPr>
        <w:t>, Argentina</w:t>
      </w:r>
      <w:r w:rsidR="004077F1" w:rsidRPr="00805055">
        <w:rPr>
          <w:sz w:val="22"/>
          <w:szCs w:val="22"/>
        </w:rPr>
        <w:t xml:space="preserve"> incorporated new variables, including disability, </w:t>
      </w:r>
      <w:r w:rsidR="00570DC7" w:rsidRPr="00805055">
        <w:rPr>
          <w:sz w:val="22"/>
          <w:szCs w:val="22"/>
        </w:rPr>
        <w:t>in</w:t>
      </w:r>
      <w:r w:rsidR="004077F1" w:rsidRPr="00805055">
        <w:rPr>
          <w:sz w:val="22"/>
          <w:szCs w:val="22"/>
        </w:rPr>
        <w:t>to the National Judicial Registry of Femicides</w:t>
      </w:r>
      <w:r w:rsidR="00570DC7" w:rsidRPr="00805055">
        <w:rPr>
          <w:sz w:val="22"/>
          <w:szCs w:val="22"/>
        </w:rPr>
        <w:t xml:space="preserve"> (RNFJA)</w:t>
      </w:r>
      <w:r w:rsidR="004077F1" w:rsidRPr="00805055">
        <w:rPr>
          <w:sz w:val="22"/>
          <w:szCs w:val="22"/>
        </w:rPr>
        <w:t>.</w:t>
      </w:r>
      <w:r w:rsidR="004077F1" w:rsidRPr="00805055">
        <w:rPr>
          <w:rStyle w:val="EndnoteReference"/>
          <w:sz w:val="22"/>
          <w:szCs w:val="22"/>
        </w:rPr>
        <w:endnoteReference w:id="11"/>
      </w:r>
      <w:r w:rsidR="004077F1" w:rsidRPr="00805055">
        <w:rPr>
          <w:sz w:val="22"/>
          <w:szCs w:val="22"/>
        </w:rPr>
        <w:t xml:space="preserve"> </w:t>
      </w:r>
      <w:r w:rsidR="00570DC7" w:rsidRPr="00805055">
        <w:rPr>
          <w:sz w:val="22"/>
          <w:szCs w:val="22"/>
        </w:rPr>
        <w:t xml:space="preserve">After this change, </w:t>
      </w:r>
      <w:r w:rsidR="004077F1" w:rsidRPr="00805055">
        <w:rPr>
          <w:sz w:val="22"/>
          <w:szCs w:val="22"/>
        </w:rPr>
        <w:t xml:space="preserve">the RNFJA gathered information about people with disabilities </w:t>
      </w:r>
      <w:r w:rsidR="00570DC7" w:rsidRPr="00805055">
        <w:rPr>
          <w:sz w:val="22"/>
          <w:szCs w:val="22"/>
        </w:rPr>
        <w:t xml:space="preserve">as </w:t>
      </w:r>
      <w:r w:rsidR="004077F1" w:rsidRPr="00805055">
        <w:rPr>
          <w:sz w:val="22"/>
          <w:szCs w:val="22"/>
        </w:rPr>
        <w:t xml:space="preserve">victims of femicide. Of the total of 273 victims </w:t>
      </w:r>
      <w:r w:rsidRPr="00805055">
        <w:rPr>
          <w:sz w:val="22"/>
          <w:szCs w:val="22"/>
        </w:rPr>
        <w:t>of femicide identified</w:t>
      </w:r>
      <w:r w:rsidR="004077F1" w:rsidRPr="00805055">
        <w:rPr>
          <w:sz w:val="22"/>
          <w:szCs w:val="22"/>
        </w:rPr>
        <w:t xml:space="preserve"> that year, one was a person with a disability.</w:t>
      </w:r>
      <w:r w:rsidR="004077F1" w:rsidRPr="00805055">
        <w:rPr>
          <w:rStyle w:val="EndnoteReference"/>
          <w:sz w:val="22"/>
          <w:szCs w:val="22"/>
        </w:rPr>
        <w:endnoteReference w:id="12"/>
      </w:r>
      <w:r w:rsidR="004077F1" w:rsidRPr="00805055">
        <w:rPr>
          <w:sz w:val="22"/>
          <w:szCs w:val="22"/>
        </w:rPr>
        <w:t xml:space="preserve"> </w:t>
      </w:r>
      <w:r w:rsidR="00D612E2" w:rsidRPr="00805055">
        <w:rPr>
          <w:sz w:val="22"/>
          <w:szCs w:val="22"/>
        </w:rPr>
        <w:t xml:space="preserve">However, it is not clear whether this information fully accounts for femicides of women with disabilities in Argentina, because </w:t>
      </w:r>
      <w:r w:rsidR="00570DC7" w:rsidRPr="00805055">
        <w:rPr>
          <w:sz w:val="22"/>
          <w:szCs w:val="22"/>
        </w:rPr>
        <w:t xml:space="preserve">neither </w:t>
      </w:r>
      <w:r w:rsidR="004077F1" w:rsidRPr="00805055">
        <w:rPr>
          <w:sz w:val="22"/>
          <w:szCs w:val="22"/>
        </w:rPr>
        <w:t>the</w:t>
      </w:r>
      <w:r w:rsidR="00570DC7" w:rsidRPr="00805055">
        <w:rPr>
          <w:sz w:val="22"/>
          <w:szCs w:val="22"/>
        </w:rPr>
        <w:t xml:space="preserve"> State-collected</w:t>
      </w:r>
      <w:r w:rsidR="004077F1" w:rsidRPr="00805055">
        <w:rPr>
          <w:sz w:val="22"/>
          <w:szCs w:val="22"/>
        </w:rPr>
        <w:t xml:space="preserve"> Unique Registry of Gender-Based Violence Cases n</w:t>
      </w:r>
      <w:r w:rsidR="00570DC7" w:rsidRPr="00805055">
        <w:rPr>
          <w:sz w:val="22"/>
          <w:szCs w:val="22"/>
        </w:rPr>
        <w:t>or</w:t>
      </w:r>
      <w:r w:rsidR="004077F1" w:rsidRPr="00805055">
        <w:rPr>
          <w:sz w:val="22"/>
          <w:szCs w:val="22"/>
        </w:rPr>
        <w:t xml:space="preserve"> the </w:t>
      </w:r>
      <w:r w:rsidR="00570DC7" w:rsidRPr="00805055">
        <w:rPr>
          <w:sz w:val="22"/>
          <w:szCs w:val="22"/>
        </w:rPr>
        <w:t>various civil socie</w:t>
      </w:r>
      <w:r w:rsidR="00D612E2" w:rsidRPr="00805055">
        <w:rPr>
          <w:sz w:val="22"/>
          <w:szCs w:val="22"/>
        </w:rPr>
        <w:t>ty efforts to monitor gender-based violence, including femicide,</w:t>
      </w:r>
      <w:r w:rsidR="00570DC7" w:rsidRPr="00805055">
        <w:rPr>
          <w:sz w:val="22"/>
          <w:szCs w:val="22"/>
        </w:rPr>
        <w:t xml:space="preserve"> </w:t>
      </w:r>
      <w:r w:rsidR="004077F1" w:rsidRPr="00805055">
        <w:rPr>
          <w:sz w:val="22"/>
          <w:szCs w:val="22"/>
        </w:rPr>
        <w:t>collect information o</w:t>
      </w:r>
      <w:r w:rsidR="00F4529A">
        <w:rPr>
          <w:sz w:val="22"/>
          <w:szCs w:val="22"/>
        </w:rPr>
        <w:t xml:space="preserve">n </w:t>
      </w:r>
      <w:r w:rsidR="004077F1" w:rsidRPr="00805055">
        <w:rPr>
          <w:sz w:val="22"/>
          <w:szCs w:val="22"/>
        </w:rPr>
        <w:t>violence against women with disabilities.</w:t>
      </w:r>
      <w:r w:rsidR="004077F1" w:rsidRPr="00805055">
        <w:rPr>
          <w:rStyle w:val="EndnoteReference"/>
          <w:sz w:val="22"/>
          <w:szCs w:val="22"/>
        </w:rPr>
        <w:endnoteReference w:id="13"/>
      </w:r>
      <w:r w:rsidR="004077F1" w:rsidRPr="001B5DDB">
        <w:rPr>
          <w:sz w:val="22"/>
          <w:szCs w:val="22"/>
        </w:rPr>
        <w:t xml:space="preserve"> </w:t>
      </w:r>
      <w:r w:rsidR="00570DC7" w:rsidRPr="001B5DDB">
        <w:rPr>
          <w:sz w:val="22"/>
          <w:szCs w:val="22"/>
        </w:rPr>
        <w:t xml:space="preserve">As a result, </w:t>
      </w:r>
      <w:r w:rsidR="00D612E2" w:rsidRPr="001B5DDB">
        <w:rPr>
          <w:sz w:val="22"/>
          <w:szCs w:val="22"/>
        </w:rPr>
        <w:t>despite the recent changes to the RNF</w:t>
      </w:r>
      <w:r w:rsidR="00805055">
        <w:rPr>
          <w:sz w:val="22"/>
          <w:szCs w:val="22"/>
        </w:rPr>
        <w:t>J</w:t>
      </w:r>
      <w:r w:rsidR="00D612E2" w:rsidRPr="001B5DDB">
        <w:rPr>
          <w:sz w:val="22"/>
          <w:szCs w:val="22"/>
        </w:rPr>
        <w:t xml:space="preserve">A, </w:t>
      </w:r>
      <w:r w:rsidR="00570DC7" w:rsidRPr="001B5DDB">
        <w:rPr>
          <w:sz w:val="22"/>
          <w:szCs w:val="22"/>
        </w:rPr>
        <w:t xml:space="preserve">statistics </w:t>
      </w:r>
      <w:r w:rsidR="004077F1" w:rsidRPr="00805055">
        <w:rPr>
          <w:sz w:val="22"/>
          <w:szCs w:val="22"/>
        </w:rPr>
        <w:t xml:space="preserve">on </w:t>
      </w:r>
      <w:r w:rsidR="00D612E2" w:rsidRPr="00805055">
        <w:rPr>
          <w:sz w:val="22"/>
          <w:szCs w:val="22"/>
        </w:rPr>
        <w:t>gender-based violence, including femicide,</w:t>
      </w:r>
      <w:r w:rsidR="004077F1" w:rsidRPr="00805055">
        <w:rPr>
          <w:sz w:val="22"/>
          <w:szCs w:val="22"/>
        </w:rPr>
        <w:t xml:space="preserve"> and many other issues affecting women with disabilities</w:t>
      </w:r>
      <w:r w:rsidR="00D612E2" w:rsidRPr="00805055">
        <w:rPr>
          <w:sz w:val="22"/>
          <w:szCs w:val="22"/>
        </w:rPr>
        <w:t xml:space="preserve"> in Argentina</w:t>
      </w:r>
      <w:r w:rsidR="004077F1" w:rsidRPr="00805055">
        <w:rPr>
          <w:sz w:val="22"/>
          <w:szCs w:val="22"/>
        </w:rPr>
        <w:t xml:space="preserve"> are not</w:t>
      </w:r>
      <w:r w:rsidR="00D612E2" w:rsidRPr="00805055">
        <w:rPr>
          <w:sz w:val="22"/>
          <w:szCs w:val="22"/>
        </w:rPr>
        <w:t xml:space="preserve"> yet</w:t>
      </w:r>
      <w:r w:rsidR="004077F1" w:rsidRPr="00805055">
        <w:rPr>
          <w:sz w:val="22"/>
          <w:szCs w:val="22"/>
        </w:rPr>
        <w:t xml:space="preserve"> sufficiently collected or disaggregated</w:t>
      </w:r>
      <w:r w:rsidR="00D612E2" w:rsidRPr="00805055">
        <w:rPr>
          <w:sz w:val="22"/>
          <w:szCs w:val="22"/>
        </w:rPr>
        <w:t>.</w:t>
      </w:r>
    </w:p>
    <w:p w14:paraId="6F103375" w14:textId="5B92F734" w:rsidR="00301DCD" w:rsidRDefault="00301DCD" w:rsidP="00683FFA">
      <w:pPr>
        <w:jc w:val="both"/>
        <w:rPr>
          <w:sz w:val="22"/>
          <w:szCs w:val="22"/>
        </w:rPr>
      </w:pPr>
    </w:p>
    <w:p w14:paraId="7078A36C" w14:textId="1F9750E5" w:rsidR="00A43FF5" w:rsidRDefault="00805055" w:rsidP="006E1528">
      <w:pPr>
        <w:jc w:val="both"/>
        <w:rPr>
          <w:sz w:val="22"/>
          <w:szCs w:val="22"/>
        </w:rPr>
      </w:pPr>
      <w:r w:rsidRPr="0013714E">
        <w:rPr>
          <w:sz w:val="22"/>
          <w:szCs w:val="22"/>
          <w:lang w:val="en-GB"/>
        </w:rPr>
        <w:t>The</w:t>
      </w:r>
      <w:r>
        <w:rPr>
          <w:sz w:val="22"/>
          <w:szCs w:val="22"/>
          <w:lang w:val="en-GB"/>
        </w:rPr>
        <w:t xml:space="preserve"> </w:t>
      </w:r>
      <w:r w:rsidR="00301DCD" w:rsidRPr="00301DCD">
        <w:rPr>
          <w:sz w:val="22"/>
          <w:szCs w:val="22"/>
        </w:rPr>
        <w:t xml:space="preserve">2014 Latin American Model Protocol </w:t>
      </w:r>
      <w:r w:rsidR="00301DCD">
        <w:rPr>
          <w:sz w:val="22"/>
          <w:szCs w:val="22"/>
        </w:rPr>
        <w:t xml:space="preserve">for the investigation of gender related killings of women </w:t>
      </w:r>
      <w:r w:rsidR="00A43FF5">
        <w:rPr>
          <w:sz w:val="22"/>
          <w:szCs w:val="22"/>
        </w:rPr>
        <w:t xml:space="preserve">(femicide/feminicide) </w:t>
      </w:r>
      <w:r w:rsidR="00500381">
        <w:rPr>
          <w:sz w:val="22"/>
          <w:szCs w:val="22"/>
        </w:rPr>
        <w:t xml:space="preserve">(the </w:t>
      </w:r>
      <w:r w:rsidR="00A43FF5">
        <w:rPr>
          <w:sz w:val="22"/>
          <w:szCs w:val="22"/>
        </w:rPr>
        <w:t xml:space="preserve">Model </w:t>
      </w:r>
      <w:r w:rsidR="00500381">
        <w:rPr>
          <w:sz w:val="22"/>
          <w:szCs w:val="22"/>
        </w:rPr>
        <w:t>Protocol)</w:t>
      </w:r>
      <w:r>
        <w:rPr>
          <w:sz w:val="22"/>
          <w:szCs w:val="22"/>
        </w:rPr>
        <w:t xml:space="preserve"> provides an important template for investigating femicide against women with disabilities. The Model Protocol</w:t>
      </w:r>
      <w:r w:rsidR="00500381">
        <w:rPr>
          <w:sz w:val="22"/>
          <w:szCs w:val="22"/>
        </w:rPr>
        <w:t xml:space="preserve"> </w:t>
      </w:r>
      <w:r w:rsidR="00301DCD" w:rsidRPr="00301DCD">
        <w:rPr>
          <w:sz w:val="22"/>
          <w:szCs w:val="22"/>
        </w:rPr>
        <w:t>states</w:t>
      </w:r>
      <w:r w:rsidR="00B95917">
        <w:rPr>
          <w:sz w:val="22"/>
          <w:szCs w:val="22"/>
        </w:rPr>
        <w:t xml:space="preserve"> that</w:t>
      </w:r>
      <w:r w:rsidR="00301DCD" w:rsidRPr="00301DCD">
        <w:rPr>
          <w:sz w:val="22"/>
          <w:szCs w:val="22"/>
        </w:rPr>
        <w:t xml:space="preserve"> investigations</w:t>
      </w:r>
      <w:r w:rsidR="00B95917">
        <w:rPr>
          <w:sz w:val="22"/>
          <w:szCs w:val="22"/>
        </w:rPr>
        <w:t xml:space="preserve"> into femicides</w:t>
      </w:r>
      <w:r w:rsidR="00301DCD" w:rsidRPr="00301DCD">
        <w:rPr>
          <w:sz w:val="22"/>
          <w:szCs w:val="22"/>
        </w:rPr>
        <w:t xml:space="preserve"> </w:t>
      </w:r>
      <w:r w:rsidR="00301DCD">
        <w:rPr>
          <w:sz w:val="22"/>
          <w:szCs w:val="22"/>
        </w:rPr>
        <w:t>must</w:t>
      </w:r>
      <w:r w:rsidR="00301DCD" w:rsidRPr="00301DCD">
        <w:rPr>
          <w:sz w:val="22"/>
          <w:szCs w:val="22"/>
        </w:rPr>
        <w:t xml:space="preserve"> </w:t>
      </w:r>
      <w:r w:rsidR="00301DCD">
        <w:rPr>
          <w:sz w:val="22"/>
          <w:szCs w:val="22"/>
        </w:rPr>
        <w:t xml:space="preserve">be </w:t>
      </w:r>
      <w:r w:rsidR="00301DCD" w:rsidRPr="00301DCD">
        <w:rPr>
          <w:sz w:val="22"/>
          <w:szCs w:val="22"/>
        </w:rPr>
        <w:t>carried out with an intersectional analysis</w:t>
      </w:r>
      <w:r w:rsidR="00A43FF5">
        <w:rPr>
          <w:sz w:val="22"/>
          <w:szCs w:val="22"/>
        </w:rPr>
        <w:t>,</w:t>
      </w:r>
      <w:r w:rsidR="00EF3F95">
        <w:rPr>
          <w:sz w:val="22"/>
          <w:szCs w:val="22"/>
        </w:rPr>
        <w:t xml:space="preserve"> </w:t>
      </w:r>
      <w:r w:rsidR="00A43FF5">
        <w:rPr>
          <w:sz w:val="22"/>
          <w:szCs w:val="22"/>
        </w:rPr>
        <w:t>and includes a</w:t>
      </w:r>
      <w:r w:rsidR="00301DCD" w:rsidRPr="00301DCD">
        <w:rPr>
          <w:sz w:val="22"/>
          <w:szCs w:val="22"/>
        </w:rPr>
        <w:t xml:space="preserve"> list of elements that should be considered depending on the characteristics of the victims</w:t>
      </w:r>
      <w:r w:rsidR="00301DCD">
        <w:rPr>
          <w:sz w:val="22"/>
          <w:szCs w:val="22"/>
        </w:rPr>
        <w:t>,</w:t>
      </w:r>
      <w:r w:rsidR="00A43FF5">
        <w:rPr>
          <w:sz w:val="22"/>
          <w:szCs w:val="22"/>
        </w:rPr>
        <w:t xml:space="preserve"> including </w:t>
      </w:r>
      <w:r w:rsidR="00B95917">
        <w:rPr>
          <w:sz w:val="22"/>
          <w:szCs w:val="22"/>
        </w:rPr>
        <w:t>disability status</w:t>
      </w:r>
      <w:r w:rsidR="00301DCD" w:rsidRPr="00301DCD">
        <w:rPr>
          <w:sz w:val="22"/>
          <w:szCs w:val="22"/>
        </w:rPr>
        <w:t>.</w:t>
      </w:r>
      <w:r w:rsidR="00EF3F95">
        <w:rPr>
          <w:rStyle w:val="EndnoteReference"/>
          <w:sz w:val="22"/>
          <w:szCs w:val="22"/>
        </w:rPr>
        <w:endnoteReference w:id="14"/>
      </w:r>
      <w:r w:rsidR="00301DCD" w:rsidRPr="00301DCD">
        <w:rPr>
          <w:sz w:val="22"/>
          <w:szCs w:val="22"/>
        </w:rPr>
        <w:t xml:space="preserve"> </w:t>
      </w:r>
      <w:r w:rsidR="00A43FF5">
        <w:rPr>
          <w:sz w:val="22"/>
          <w:szCs w:val="22"/>
        </w:rPr>
        <w:t>For instance, t</w:t>
      </w:r>
      <w:r w:rsidR="00B95917">
        <w:rPr>
          <w:sz w:val="22"/>
          <w:szCs w:val="22"/>
        </w:rPr>
        <w:t xml:space="preserve">he </w:t>
      </w:r>
      <w:r w:rsidR="00A43FF5">
        <w:rPr>
          <w:sz w:val="22"/>
          <w:szCs w:val="22"/>
        </w:rPr>
        <w:t>Model Protocol notes</w:t>
      </w:r>
      <w:r w:rsidR="00B95917">
        <w:rPr>
          <w:sz w:val="22"/>
          <w:szCs w:val="22"/>
        </w:rPr>
        <w:t xml:space="preserve"> that </w:t>
      </w:r>
      <w:r w:rsidR="00301DCD" w:rsidRPr="00301DCD">
        <w:rPr>
          <w:sz w:val="22"/>
          <w:szCs w:val="22"/>
        </w:rPr>
        <w:t>femicides of women with disabilities occur primarily in the context of violence within family relationship</w:t>
      </w:r>
      <w:r w:rsidR="00A43FF5">
        <w:rPr>
          <w:sz w:val="22"/>
          <w:szCs w:val="22"/>
        </w:rPr>
        <w:t>s, including partner relationships,</w:t>
      </w:r>
      <w:r w:rsidR="00301DCD" w:rsidRPr="00301DCD">
        <w:rPr>
          <w:sz w:val="22"/>
          <w:szCs w:val="22"/>
        </w:rPr>
        <w:t xml:space="preserve"> and </w:t>
      </w:r>
      <w:r w:rsidR="00A43FF5">
        <w:rPr>
          <w:sz w:val="22"/>
          <w:szCs w:val="22"/>
        </w:rPr>
        <w:t xml:space="preserve">also sometimes </w:t>
      </w:r>
      <w:r w:rsidR="00301DCD" w:rsidRPr="00301DCD">
        <w:rPr>
          <w:sz w:val="22"/>
          <w:szCs w:val="22"/>
        </w:rPr>
        <w:t>as part of sexual violence in which “the attack is carried out taking advantage of the vulnerability of these women.”</w:t>
      </w:r>
      <w:r w:rsidR="00301DCD">
        <w:rPr>
          <w:rStyle w:val="EndnoteReference"/>
          <w:sz w:val="22"/>
          <w:szCs w:val="22"/>
        </w:rPr>
        <w:endnoteReference w:id="15"/>
      </w:r>
      <w:r w:rsidR="00B95917">
        <w:rPr>
          <w:sz w:val="22"/>
          <w:szCs w:val="22"/>
        </w:rPr>
        <w:t xml:space="preserve"> The </w:t>
      </w:r>
      <w:r w:rsidR="00A43FF5">
        <w:rPr>
          <w:sz w:val="22"/>
          <w:szCs w:val="22"/>
        </w:rPr>
        <w:t xml:space="preserve">Model </w:t>
      </w:r>
      <w:r w:rsidR="00B95917">
        <w:rPr>
          <w:sz w:val="22"/>
          <w:szCs w:val="22"/>
        </w:rPr>
        <w:t>Protocol</w:t>
      </w:r>
      <w:r w:rsidR="00A43FF5">
        <w:rPr>
          <w:sz w:val="22"/>
          <w:szCs w:val="22"/>
        </w:rPr>
        <w:t xml:space="preserve"> further</w:t>
      </w:r>
      <w:r w:rsidR="00301DCD" w:rsidRPr="00301DCD">
        <w:rPr>
          <w:sz w:val="22"/>
          <w:szCs w:val="22"/>
        </w:rPr>
        <w:t xml:space="preserve"> points out that femicides of women with disabilities</w:t>
      </w:r>
      <w:r w:rsidR="00A43FF5">
        <w:rPr>
          <w:sz w:val="22"/>
          <w:szCs w:val="22"/>
        </w:rPr>
        <w:t xml:space="preserve"> may have similar characteristics to those against older women,</w:t>
      </w:r>
      <w:r w:rsidR="00A43FF5" w:rsidRPr="006E1528">
        <w:rPr>
          <w:rStyle w:val="EndnoteReference"/>
          <w:sz w:val="22"/>
          <w:szCs w:val="22"/>
        </w:rPr>
        <w:endnoteReference w:id="16"/>
      </w:r>
      <w:r w:rsidR="00140DCD">
        <w:rPr>
          <w:sz w:val="22"/>
          <w:szCs w:val="22"/>
        </w:rPr>
        <w:t xml:space="preserve"> </w:t>
      </w:r>
      <w:r w:rsidR="00A43FF5">
        <w:rPr>
          <w:sz w:val="22"/>
          <w:szCs w:val="22"/>
        </w:rPr>
        <w:t xml:space="preserve">including a history of prior violence throughout the duration of a relationship with the perpetrator, </w:t>
      </w:r>
      <w:r w:rsidR="00140DCD">
        <w:rPr>
          <w:sz w:val="22"/>
          <w:szCs w:val="22"/>
        </w:rPr>
        <w:t xml:space="preserve">excessive force, and </w:t>
      </w:r>
      <w:r w:rsidR="001237B4">
        <w:rPr>
          <w:sz w:val="22"/>
          <w:szCs w:val="22"/>
        </w:rPr>
        <w:t>the victim’s inability to resist</w:t>
      </w:r>
      <w:r w:rsidR="00140DCD">
        <w:rPr>
          <w:sz w:val="22"/>
          <w:szCs w:val="22"/>
        </w:rPr>
        <w:t>.</w:t>
      </w:r>
      <w:r w:rsidR="00140DCD">
        <w:rPr>
          <w:rStyle w:val="EndnoteReference"/>
          <w:sz w:val="22"/>
          <w:szCs w:val="22"/>
        </w:rPr>
        <w:endnoteReference w:id="17"/>
      </w:r>
      <w:r>
        <w:rPr>
          <w:sz w:val="22"/>
          <w:szCs w:val="22"/>
        </w:rPr>
        <w:t xml:space="preserve"> It is unclear, however, whether the Model Protocol</w:t>
      </w:r>
      <w:r w:rsidR="00B760CD">
        <w:rPr>
          <w:sz w:val="22"/>
          <w:szCs w:val="22"/>
        </w:rPr>
        <w:t xml:space="preserve"> or some of its provisions</w:t>
      </w:r>
      <w:r>
        <w:rPr>
          <w:sz w:val="22"/>
          <w:szCs w:val="22"/>
        </w:rPr>
        <w:t xml:space="preserve"> ha</w:t>
      </w:r>
      <w:r w:rsidR="00B760CD">
        <w:rPr>
          <w:sz w:val="22"/>
          <w:szCs w:val="22"/>
        </w:rPr>
        <w:t>ve</w:t>
      </w:r>
      <w:r>
        <w:rPr>
          <w:sz w:val="22"/>
          <w:szCs w:val="22"/>
        </w:rPr>
        <w:t xml:space="preserve"> been adopted by States in Latin America or elsewhere</w:t>
      </w:r>
      <w:r w:rsidR="00FE2852">
        <w:rPr>
          <w:sz w:val="22"/>
          <w:szCs w:val="22"/>
        </w:rPr>
        <w:t>, with the exception</w:t>
      </w:r>
      <w:r w:rsidR="00A45FA3">
        <w:rPr>
          <w:sz w:val="22"/>
          <w:szCs w:val="22"/>
        </w:rPr>
        <w:t>s</w:t>
      </w:r>
      <w:r w:rsidR="000F2F7D">
        <w:rPr>
          <w:sz w:val="22"/>
          <w:szCs w:val="22"/>
        </w:rPr>
        <w:t xml:space="preserve"> </w:t>
      </w:r>
      <w:r w:rsidR="00FE2852">
        <w:rPr>
          <w:sz w:val="22"/>
          <w:szCs w:val="22"/>
        </w:rPr>
        <w:t>of Mexico</w:t>
      </w:r>
      <w:r w:rsidR="00A45FA3">
        <w:rPr>
          <w:sz w:val="22"/>
          <w:szCs w:val="22"/>
        </w:rPr>
        <w:t xml:space="preserve"> and Argentina</w:t>
      </w:r>
      <w:r>
        <w:rPr>
          <w:sz w:val="22"/>
          <w:szCs w:val="22"/>
        </w:rPr>
        <w:t>.</w:t>
      </w:r>
      <w:r w:rsidR="00FE2852">
        <w:rPr>
          <w:rStyle w:val="EndnoteReference"/>
          <w:sz w:val="22"/>
          <w:szCs w:val="22"/>
        </w:rPr>
        <w:endnoteReference w:id="18"/>
      </w:r>
    </w:p>
    <w:p w14:paraId="43428525" w14:textId="77777777" w:rsidR="00A43FF5" w:rsidRDefault="00A43FF5" w:rsidP="006E1528">
      <w:pPr>
        <w:jc w:val="both"/>
        <w:rPr>
          <w:sz w:val="22"/>
          <w:szCs w:val="22"/>
        </w:rPr>
      </w:pPr>
    </w:p>
    <w:p w14:paraId="68103AA7" w14:textId="5512A1E0" w:rsidR="009D594E" w:rsidRPr="006E1528" w:rsidRDefault="00A43FF5" w:rsidP="00AF11D9">
      <w:pPr>
        <w:jc w:val="both"/>
        <w:rPr>
          <w:sz w:val="22"/>
          <w:szCs w:val="22"/>
        </w:rPr>
      </w:pPr>
      <w:r w:rsidRPr="00E16388">
        <w:rPr>
          <w:sz w:val="22"/>
          <w:szCs w:val="22"/>
        </w:rPr>
        <w:t>Furthermore</w:t>
      </w:r>
      <w:r w:rsidR="00D066D7" w:rsidRPr="00E16388">
        <w:rPr>
          <w:sz w:val="22"/>
          <w:szCs w:val="22"/>
        </w:rPr>
        <w:t>, the Inter-American Model Law for the Prevention, Punishment, and</w:t>
      </w:r>
      <w:r w:rsidR="009D594E" w:rsidRPr="00E16388">
        <w:rPr>
          <w:sz w:val="22"/>
          <w:szCs w:val="22"/>
        </w:rPr>
        <w:t xml:space="preserve"> Eradication of Violence Against Women</w:t>
      </w:r>
      <w:r w:rsidR="00AF11D9" w:rsidRPr="00E16388">
        <w:rPr>
          <w:sz w:val="22"/>
          <w:szCs w:val="22"/>
        </w:rPr>
        <w:t xml:space="preserve"> in Political Life</w:t>
      </w:r>
      <w:r w:rsidR="001237B4">
        <w:rPr>
          <w:sz w:val="22"/>
          <w:szCs w:val="22"/>
        </w:rPr>
        <w:t xml:space="preserve"> (the Model Law)</w:t>
      </w:r>
      <w:r w:rsidR="003F5415">
        <w:rPr>
          <w:sz w:val="22"/>
          <w:szCs w:val="22"/>
        </w:rPr>
        <w:t>, published in 2017,</w:t>
      </w:r>
      <w:r w:rsidRPr="00E16388">
        <w:rPr>
          <w:sz w:val="22"/>
          <w:szCs w:val="22"/>
        </w:rPr>
        <w:t xml:space="preserve"> </w:t>
      </w:r>
      <w:r w:rsidR="006C7329">
        <w:rPr>
          <w:sz w:val="22"/>
          <w:szCs w:val="22"/>
        </w:rPr>
        <w:t>takes an intersectional approach to violence against women, including femicide.</w:t>
      </w:r>
      <w:r w:rsidR="00AF11D9" w:rsidRPr="00E16388">
        <w:rPr>
          <w:rStyle w:val="EndnoteReference"/>
          <w:sz w:val="22"/>
          <w:szCs w:val="22"/>
        </w:rPr>
        <w:endnoteReference w:id="19"/>
      </w:r>
      <w:r w:rsidR="006C7329">
        <w:rPr>
          <w:sz w:val="22"/>
          <w:szCs w:val="22"/>
        </w:rPr>
        <w:t xml:space="preserve"> </w:t>
      </w:r>
      <w:r w:rsidR="00F34673">
        <w:rPr>
          <w:sz w:val="22"/>
          <w:szCs w:val="22"/>
        </w:rPr>
        <w:t xml:space="preserve">The Model Law includes a provision that States </w:t>
      </w:r>
      <w:r w:rsidR="006E1528" w:rsidRPr="00E16388">
        <w:rPr>
          <w:sz w:val="22"/>
          <w:szCs w:val="22"/>
        </w:rPr>
        <w:t xml:space="preserve">should take into consideration the vulnerability of women to violence because of </w:t>
      </w:r>
      <w:r w:rsidR="00F34673">
        <w:rPr>
          <w:sz w:val="22"/>
          <w:szCs w:val="22"/>
        </w:rPr>
        <w:t>various intersectional factors, including disability</w:t>
      </w:r>
      <w:r w:rsidR="006E1528" w:rsidRPr="00E16388">
        <w:rPr>
          <w:sz w:val="22"/>
          <w:szCs w:val="22"/>
        </w:rPr>
        <w:t>.</w:t>
      </w:r>
      <w:r w:rsidR="006E1528" w:rsidRPr="00E16388">
        <w:rPr>
          <w:rStyle w:val="EndnoteReference"/>
          <w:sz w:val="22"/>
          <w:szCs w:val="22"/>
        </w:rPr>
        <w:endnoteReference w:id="20"/>
      </w:r>
      <w:r w:rsidR="006E1528" w:rsidRPr="00E16388">
        <w:rPr>
          <w:sz w:val="22"/>
          <w:szCs w:val="22"/>
        </w:rPr>
        <w:t xml:space="preserve"> With regard to data collection, it says that</w:t>
      </w:r>
      <w:r w:rsidR="009D594E" w:rsidRPr="00E16388">
        <w:rPr>
          <w:sz w:val="22"/>
          <w:szCs w:val="22"/>
        </w:rPr>
        <w:t xml:space="preserve"> </w:t>
      </w:r>
      <w:r w:rsidR="00D519D1" w:rsidRPr="00E16388">
        <w:rPr>
          <w:sz w:val="22"/>
          <w:szCs w:val="22"/>
        </w:rPr>
        <w:t xml:space="preserve">the </w:t>
      </w:r>
      <w:r w:rsidR="00F34673">
        <w:rPr>
          <w:sz w:val="22"/>
          <w:szCs w:val="22"/>
        </w:rPr>
        <w:t xml:space="preserve">States </w:t>
      </w:r>
      <w:r w:rsidR="00D519D1" w:rsidRPr="00E16388">
        <w:rPr>
          <w:sz w:val="22"/>
          <w:szCs w:val="22"/>
        </w:rPr>
        <w:t>should</w:t>
      </w:r>
      <w:r w:rsidR="009D594E" w:rsidRPr="00E16388">
        <w:rPr>
          <w:sz w:val="22"/>
          <w:szCs w:val="22"/>
        </w:rPr>
        <w:t xml:space="preserve"> </w:t>
      </w:r>
      <w:r w:rsidR="00F34673">
        <w:rPr>
          <w:sz w:val="22"/>
          <w:szCs w:val="22"/>
        </w:rPr>
        <w:t xml:space="preserve">also </w:t>
      </w:r>
      <w:r w:rsidR="009D594E" w:rsidRPr="00E16388">
        <w:rPr>
          <w:sz w:val="22"/>
          <w:szCs w:val="22"/>
        </w:rPr>
        <w:t>establish an information system that reflect</w:t>
      </w:r>
      <w:r w:rsidR="00F4529A">
        <w:rPr>
          <w:sz w:val="22"/>
          <w:szCs w:val="22"/>
        </w:rPr>
        <w:t xml:space="preserve">s </w:t>
      </w:r>
      <w:r w:rsidR="00D519D1" w:rsidRPr="00E16388">
        <w:rPr>
          <w:sz w:val="22"/>
          <w:szCs w:val="22"/>
        </w:rPr>
        <w:t>political participation of persons</w:t>
      </w:r>
      <w:r w:rsidR="00E16388" w:rsidRPr="00E16388">
        <w:rPr>
          <w:sz w:val="22"/>
          <w:szCs w:val="22"/>
        </w:rPr>
        <w:t xml:space="preserve"> </w:t>
      </w:r>
      <w:r w:rsidR="009D594E" w:rsidRPr="00E16388">
        <w:rPr>
          <w:sz w:val="22"/>
          <w:szCs w:val="22"/>
        </w:rPr>
        <w:t>disaggregated by</w:t>
      </w:r>
      <w:r w:rsidR="006E1528" w:rsidRPr="00E16388">
        <w:rPr>
          <w:sz w:val="22"/>
          <w:szCs w:val="22"/>
        </w:rPr>
        <w:t xml:space="preserve"> </w:t>
      </w:r>
      <w:r w:rsidR="009D594E" w:rsidRPr="00E16388">
        <w:rPr>
          <w:sz w:val="22"/>
          <w:szCs w:val="22"/>
        </w:rPr>
        <w:t>sex, age, race,</w:t>
      </w:r>
      <w:r w:rsidR="00F34673">
        <w:rPr>
          <w:sz w:val="22"/>
          <w:szCs w:val="22"/>
        </w:rPr>
        <w:t xml:space="preserve"> </w:t>
      </w:r>
      <w:r w:rsidR="009D594E" w:rsidRPr="00E16388">
        <w:rPr>
          <w:sz w:val="22"/>
          <w:szCs w:val="22"/>
        </w:rPr>
        <w:t>and disability, among other</w:t>
      </w:r>
      <w:r w:rsidR="00F34673">
        <w:rPr>
          <w:sz w:val="22"/>
          <w:szCs w:val="22"/>
        </w:rPr>
        <w:t xml:space="preserve"> factors</w:t>
      </w:r>
      <w:r w:rsidR="009D594E" w:rsidRPr="00E16388">
        <w:rPr>
          <w:sz w:val="22"/>
          <w:szCs w:val="22"/>
        </w:rPr>
        <w:t>.</w:t>
      </w:r>
      <w:r w:rsidR="006E1528" w:rsidRPr="00E16388">
        <w:rPr>
          <w:rStyle w:val="EndnoteReference"/>
          <w:sz w:val="22"/>
          <w:szCs w:val="22"/>
        </w:rPr>
        <w:endnoteReference w:id="21"/>
      </w:r>
      <w:r w:rsidR="009D594E" w:rsidRPr="00E16388">
        <w:rPr>
          <w:sz w:val="22"/>
          <w:szCs w:val="22"/>
        </w:rPr>
        <w:t xml:space="preserve"> </w:t>
      </w:r>
      <w:r w:rsidR="00D26BF4" w:rsidRPr="001237B4">
        <w:rPr>
          <w:sz w:val="22"/>
          <w:szCs w:val="22"/>
        </w:rPr>
        <w:t xml:space="preserve">However, </w:t>
      </w:r>
      <w:r w:rsidR="000F2F7D" w:rsidRPr="001237B4">
        <w:rPr>
          <w:sz w:val="22"/>
          <w:szCs w:val="22"/>
        </w:rPr>
        <w:t xml:space="preserve">as noted above, few States </w:t>
      </w:r>
      <w:r w:rsidR="006C7329" w:rsidRPr="001237B4">
        <w:rPr>
          <w:sz w:val="22"/>
          <w:szCs w:val="22"/>
        </w:rPr>
        <w:t xml:space="preserve">consistently </w:t>
      </w:r>
      <w:r w:rsidR="000F2F7D" w:rsidRPr="001237B4">
        <w:rPr>
          <w:sz w:val="22"/>
          <w:szCs w:val="22"/>
        </w:rPr>
        <w:t>document and collect data on violence against women</w:t>
      </w:r>
      <w:r w:rsidR="006C7329" w:rsidRPr="001237B4">
        <w:rPr>
          <w:sz w:val="22"/>
          <w:szCs w:val="22"/>
        </w:rPr>
        <w:t xml:space="preserve"> with disabilities</w:t>
      </w:r>
      <w:r w:rsidR="000F2F7D" w:rsidRPr="001237B4">
        <w:rPr>
          <w:sz w:val="22"/>
          <w:szCs w:val="22"/>
        </w:rPr>
        <w:t>, including femicide.</w:t>
      </w:r>
      <w:r w:rsidR="000F2F7D">
        <w:rPr>
          <w:sz w:val="22"/>
          <w:szCs w:val="22"/>
        </w:rPr>
        <w:t xml:space="preserve"> </w:t>
      </w:r>
    </w:p>
    <w:p w14:paraId="3BB80372" w14:textId="77777777" w:rsidR="00E843AE" w:rsidRDefault="00E843AE" w:rsidP="0072161C">
      <w:pPr>
        <w:jc w:val="both"/>
        <w:rPr>
          <w:sz w:val="22"/>
          <w:szCs w:val="22"/>
        </w:rPr>
      </w:pPr>
    </w:p>
    <w:p w14:paraId="7C6A9074" w14:textId="38A5F891" w:rsidR="00F524F7" w:rsidRDefault="00F524F7" w:rsidP="0072161C">
      <w:pPr>
        <w:jc w:val="both"/>
        <w:rPr>
          <w:sz w:val="22"/>
          <w:szCs w:val="22"/>
        </w:rPr>
      </w:pPr>
      <w:r w:rsidRPr="00124536">
        <w:rPr>
          <w:sz w:val="22"/>
          <w:szCs w:val="22"/>
        </w:rPr>
        <w:t xml:space="preserve">In order to prevent and address </w:t>
      </w:r>
      <w:r w:rsidR="00D612E2">
        <w:rPr>
          <w:sz w:val="22"/>
          <w:szCs w:val="22"/>
        </w:rPr>
        <w:t>gender-based violence, including femicide,</w:t>
      </w:r>
      <w:r w:rsidRPr="00124536">
        <w:rPr>
          <w:sz w:val="22"/>
          <w:szCs w:val="22"/>
        </w:rPr>
        <w:t xml:space="preserve"> as </w:t>
      </w:r>
      <w:r w:rsidR="00D612E2">
        <w:rPr>
          <w:sz w:val="22"/>
          <w:szCs w:val="22"/>
        </w:rPr>
        <w:t>it</w:t>
      </w:r>
      <w:r w:rsidRPr="00124536">
        <w:rPr>
          <w:sz w:val="22"/>
          <w:szCs w:val="22"/>
        </w:rPr>
        <w:t xml:space="preserve"> impact</w:t>
      </w:r>
      <w:r w:rsidR="00D612E2">
        <w:rPr>
          <w:sz w:val="22"/>
          <w:szCs w:val="22"/>
        </w:rPr>
        <w:t>s</w:t>
      </w:r>
      <w:r w:rsidRPr="00124536">
        <w:rPr>
          <w:sz w:val="22"/>
          <w:szCs w:val="22"/>
        </w:rPr>
        <w:t xml:space="preserve"> women with disabilities, </w:t>
      </w:r>
      <w:r w:rsidR="00140DCD">
        <w:rPr>
          <w:sz w:val="22"/>
          <w:szCs w:val="22"/>
        </w:rPr>
        <w:t>S</w:t>
      </w:r>
      <w:r w:rsidRPr="00124536">
        <w:rPr>
          <w:sz w:val="22"/>
          <w:szCs w:val="22"/>
        </w:rPr>
        <w:t xml:space="preserve">tates </w:t>
      </w:r>
      <w:r w:rsidR="00140DCD">
        <w:rPr>
          <w:sz w:val="22"/>
          <w:szCs w:val="22"/>
        </w:rPr>
        <w:t>should</w:t>
      </w:r>
      <w:r w:rsidRPr="00124536">
        <w:rPr>
          <w:sz w:val="22"/>
          <w:szCs w:val="22"/>
        </w:rPr>
        <w:t xml:space="preserve"> collect more disaggregated information on </w:t>
      </w:r>
      <w:r w:rsidR="00805055">
        <w:rPr>
          <w:sz w:val="22"/>
          <w:szCs w:val="22"/>
        </w:rPr>
        <w:t xml:space="preserve">violence against women with </w:t>
      </w:r>
      <w:r w:rsidR="00805055">
        <w:rPr>
          <w:sz w:val="22"/>
          <w:szCs w:val="22"/>
        </w:rPr>
        <w:lastRenderedPageBreak/>
        <w:t xml:space="preserve">disabilities, including femicide, and </w:t>
      </w:r>
      <w:r w:rsidR="00D612E2">
        <w:rPr>
          <w:sz w:val="22"/>
          <w:szCs w:val="22"/>
        </w:rPr>
        <w:t>its</w:t>
      </w:r>
      <w:r w:rsidRPr="00124536">
        <w:rPr>
          <w:sz w:val="22"/>
          <w:szCs w:val="22"/>
        </w:rPr>
        <w:t xml:space="preserve"> prevalence</w:t>
      </w:r>
      <w:r w:rsidR="00D612E2">
        <w:rPr>
          <w:sz w:val="22"/>
          <w:szCs w:val="22"/>
        </w:rPr>
        <w:t>,</w:t>
      </w:r>
      <w:r w:rsidRPr="00124536">
        <w:rPr>
          <w:sz w:val="22"/>
          <w:szCs w:val="22"/>
        </w:rPr>
        <w:t xml:space="preserve"> causes</w:t>
      </w:r>
      <w:r w:rsidR="00D612E2">
        <w:rPr>
          <w:sz w:val="22"/>
          <w:szCs w:val="22"/>
        </w:rPr>
        <w:t>, and consequences</w:t>
      </w:r>
      <w:r w:rsidRPr="00124536">
        <w:rPr>
          <w:sz w:val="22"/>
          <w:szCs w:val="22"/>
        </w:rPr>
        <w:t>. With this gap in mind, states should consult the work of the Washington Group on Disability Statistics—a body of the United Nations Statistical Commission—which has helped devise surveys to accurately measure the prevalence of disability worldwide, including amongst children.</w:t>
      </w:r>
      <w:r w:rsidRPr="00124536">
        <w:rPr>
          <w:rStyle w:val="EndnoteReference"/>
          <w:sz w:val="22"/>
          <w:szCs w:val="22"/>
        </w:rPr>
        <w:endnoteReference w:id="22"/>
      </w:r>
      <w:r w:rsidRPr="00124536">
        <w:rPr>
          <w:sz w:val="22"/>
          <w:szCs w:val="22"/>
        </w:rPr>
        <w:t xml:space="preserve"> The</w:t>
      </w:r>
      <w:r w:rsidR="00D612E2">
        <w:rPr>
          <w:sz w:val="22"/>
          <w:szCs w:val="22"/>
        </w:rPr>
        <w:t xml:space="preserve"> Washington Group’s</w:t>
      </w:r>
      <w:r w:rsidRPr="00124536">
        <w:rPr>
          <w:sz w:val="22"/>
          <w:szCs w:val="22"/>
        </w:rPr>
        <w:t xml:space="preserve"> work crafting questions to identify disability has helped scholars measure a range of issues affecting persons with disabilities,</w:t>
      </w:r>
      <w:r w:rsidRPr="00124536">
        <w:rPr>
          <w:rStyle w:val="EndnoteReference"/>
          <w:sz w:val="22"/>
          <w:szCs w:val="22"/>
        </w:rPr>
        <w:endnoteReference w:id="23"/>
      </w:r>
      <w:r w:rsidRPr="00124536">
        <w:rPr>
          <w:sz w:val="22"/>
          <w:szCs w:val="22"/>
        </w:rPr>
        <w:t xml:space="preserve"> and so may also help inform surveys on </w:t>
      </w:r>
      <w:r w:rsidR="008B17DD">
        <w:rPr>
          <w:sz w:val="22"/>
          <w:szCs w:val="22"/>
        </w:rPr>
        <w:t xml:space="preserve">femicide </w:t>
      </w:r>
      <w:r w:rsidRPr="00124536">
        <w:rPr>
          <w:sz w:val="22"/>
          <w:szCs w:val="22"/>
        </w:rPr>
        <w:t>to identify when such practices are committed against women with disabilities.</w:t>
      </w:r>
      <w:r w:rsidR="008B17DD">
        <w:rPr>
          <w:sz w:val="22"/>
          <w:szCs w:val="22"/>
        </w:rPr>
        <w:t xml:space="preserve"> </w:t>
      </w:r>
    </w:p>
    <w:p w14:paraId="4F79C8A7" w14:textId="44F52259" w:rsidR="0072161C" w:rsidRDefault="0072161C" w:rsidP="000773C7">
      <w:pPr>
        <w:jc w:val="both"/>
        <w:rPr>
          <w:sz w:val="22"/>
          <w:szCs w:val="22"/>
        </w:rPr>
      </w:pPr>
    </w:p>
    <w:p w14:paraId="703D180D" w14:textId="77777777" w:rsidR="00805055" w:rsidRDefault="00805055" w:rsidP="003C268D">
      <w:pPr>
        <w:pStyle w:val="ListParagraph"/>
        <w:numPr>
          <w:ilvl w:val="0"/>
          <w:numId w:val="7"/>
        </w:numPr>
        <w:jc w:val="both"/>
        <w:rPr>
          <w:b/>
          <w:sz w:val="22"/>
          <w:szCs w:val="22"/>
        </w:rPr>
      </w:pPr>
      <w:r>
        <w:rPr>
          <w:b/>
          <w:sz w:val="22"/>
          <w:szCs w:val="22"/>
        </w:rPr>
        <w:t>Forms of Femicide that May Disproportionately Impact Women and Girls with Disabilities</w:t>
      </w:r>
    </w:p>
    <w:p w14:paraId="0BFADAEB" w14:textId="77777777" w:rsidR="00805055" w:rsidRDefault="00805055" w:rsidP="001B5DDB">
      <w:pPr>
        <w:jc w:val="both"/>
        <w:rPr>
          <w:b/>
          <w:sz w:val="22"/>
          <w:szCs w:val="22"/>
        </w:rPr>
      </w:pPr>
    </w:p>
    <w:p w14:paraId="299808B1" w14:textId="50116114" w:rsidR="00805055" w:rsidRPr="001B5DDB" w:rsidRDefault="00805055" w:rsidP="001B5DDB">
      <w:pPr>
        <w:jc w:val="both"/>
        <w:rPr>
          <w:b/>
          <w:sz w:val="22"/>
          <w:szCs w:val="22"/>
        </w:rPr>
      </w:pPr>
      <w:r w:rsidRPr="001B5DDB">
        <w:rPr>
          <w:sz w:val="22"/>
          <w:szCs w:val="22"/>
          <w:lang w:val="en-GB"/>
        </w:rPr>
        <w:t xml:space="preserve">As the Special Rapporteur </w:t>
      </w:r>
      <w:r>
        <w:rPr>
          <w:sz w:val="22"/>
          <w:szCs w:val="22"/>
          <w:lang w:val="en-GB"/>
        </w:rPr>
        <w:t>has found</w:t>
      </w:r>
      <w:r w:rsidRPr="001B5DDB">
        <w:rPr>
          <w:sz w:val="22"/>
          <w:szCs w:val="22"/>
          <w:lang w:val="en-GB"/>
        </w:rPr>
        <w:t xml:space="preserve">, </w:t>
      </w:r>
      <w:r>
        <w:rPr>
          <w:sz w:val="22"/>
          <w:szCs w:val="22"/>
          <w:lang w:val="en-GB"/>
        </w:rPr>
        <w:t xml:space="preserve">there is an </w:t>
      </w:r>
      <w:r w:rsidRPr="001B5DDB">
        <w:rPr>
          <w:sz w:val="22"/>
          <w:szCs w:val="22"/>
          <w:lang w:val="en-GB"/>
        </w:rPr>
        <w:t xml:space="preserve">inherent connection between gender stereotypes and gender-based hate crimes and how they affect women who “[do] </w:t>
      </w:r>
      <w:r w:rsidRPr="001B5DDB">
        <w:rPr>
          <w:sz w:val="22"/>
          <w:szCs w:val="22"/>
        </w:rPr>
        <w:t>not fit within or ascribe to traditional sex roles</w:t>
      </w:r>
      <w:r w:rsidRPr="001B5DDB">
        <w:rPr>
          <w:sz w:val="22"/>
          <w:szCs w:val="22"/>
          <w:lang w:val="en-GB"/>
        </w:rPr>
        <w:t>.”</w:t>
      </w:r>
      <w:r w:rsidR="004B52C6">
        <w:rPr>
          <w:rStyle w:val="EndnoteReference"/>
          <w:sz w:val="22"/>
          <w:szCs w:val="22"/>
          <w:lang w:val="en-GB"/>
        </w:rPr>
        <w:endnoteReference w:id="24"/>
      </w:r>
      <w:r w:rsidR="004B52C6">
        <w:rPr>
          <w:sz w:val="22"/>
          <w:szCs w:val="22"/>
          <w:lang w:val="en-GB"/>
        </w:rPr>
        <w:t xml:space="preserve"> </w:t>
      </w:r>
      <w:r w:rsidRPr="001B5DDB">
        <w:rPr>
          <w:sz w:val="22"/>
          <w:szCs w:val="22"/>
          <w:lang w:val="en-GB"/>
        </w:rPr>
        <w:t>Likewise, women with disabilities are affected by unique and intersectional forms of discrimination and violence based on their gender and</w:t>
      </w:r>
      <w:r>
        <w:rPr>
          <w:sz w:val="22"/>
          <w:szCs w:val="22"/>
          <w:lang w:val="en-GB"/>
        </w:rPr>
        <w:t xml:space="preserve"> disability</w:t>
      </w:r>
      <w:r w:rsidRPr="001B5DDB">
        <w:rPr>
          <w:sz w:val="22"/>
          <w:szCs w:val="22"/>
          <w:lang w:val="en-GB"/>
        </w:rPr>
        <w:t>, a</w:t>
      </w:r>
      <w:r>
        <w:rPr>
          <w:sz w:val="22"/>
          <w:szCs w:val="22"/>
          <w:lang w:val="en-GB"/>
        </w:rPr>
        <w:t>s well as</w:t>
      </w:r>
      <w:r w:rsidRPr="001B5DDB">
        <w:rPr>
          <w:sz w:val="22"/>
          <w:szCs w:val="22"/>
          <w:lang w:val="en-GB"/>
        </w:rPr>
        <w:t xml:space="preserve"> the assumption that they are unable to fulfil the social expectations for women. </w:t>
      </w:r>
      <w:r>
        <w:rPr>
          <w:sz w:val="22"/>
          <w:szCs w:val="22"/>
          <w:lang w:val="en-GB"/>
        </w:rPr>
        <w:t>This section will explore a few of the forms of violence disproportionately</w:t>
      </w:r>
      <w:r w:rsidR="0068620C">
        <w:rPr>
          <w:sz w:val="22"/>
          <w:szCs w:val="22"/>
          <w:lang w:val="en-GB"/>
        </w:rPr>
        <w:t xml:space="preserve"> experienced</w:t>
      </w:r>
      <w:r>
        <w:rPr>
          <w:sz w:val="22"/>
          <w:szCs w:val="22"/>
          <w:lang w:val="en-GB"/>
        </w:rPr>
        <w:t xml:space="preserve"> by women and/or girls with disabilities that may constitute or lead to femicide, including domestic violence and infanticide.</w:t>
      </w:r>
    </w:p>
    <w:p w14:paraId="532ED315" w14:textId="77777777" w:rsidR="00805055" w:rsidRDefault="00805055" w:rsidP="006D34A0">
      <w:pPr>
        <w:pStyle w:val="ListParagraph"/>
        <w:ind w:left="1080"/>
        <w:jc w:val="both"/>
        <w:rPr>
          <w:b/>
          <w:sz w:val="22"/>
          <w:szCs w:val="22"/>
        </w:rPr>
      </w:pPr>
    </w:p>
    <w:p w14:paraId="469BB2CF" w14:textId="1521749C" w:rsidR="000773C7" w:rsidRPr="006D34A0" w:rsidRDefault="000773C7" w:rsidP="006D34A0">
      <w:pPr>
        <w:pStyle w:val="ListParagraph"/>
        <w:numPr>
          <w:ilvl w:val="0"/>
          <w:numId w:val="10"/>
        </w:numPr>
        <w:jc w:val="both"/>
        <w:rPr>
          <w:b/>
          <w:sz w:val="22"/>
          <w:szCs w:val="22"/>
        </w:rPr>
      </w:pPr>
      <w:r w:rsidRPr="006D34A0">
        <w:rPr>
          <w:b/>
          <w:sz w:val="22"/>
          <w:szCs w:val="22"/>
        </w:rPr>
        <w:t>Domestic Violence</w:t>
      </w:r>
      <w:r w:rsidR="003C268D" w:rsidRPr="006D34A0">
        <w:rPr>
          <w:b/>
          <w:sz w:val="22"/>
          <w:szCs w:val="22"/>
        </w:rPr>
        <w:t xml:space="preserve"> </w:t>
      </w:r>
      <w:r w:rsidRPr="006D34A0">
        <w:rPr>
          <w:b/>
          <w:sz w:val="22"/>
          <w:szCs w:val="22"/>
        </w:rPr>
        <w:t>against Women and Girls with Disabilities</w:t>
      </w:r>
    </w:p>
    <w:p w14:paraId="671115A3" w14:textId="77777777" w:rsidR="000773C7" w:rsidRPr="00124536" w:rsidRDefault="000773C7" w:rsidP="000773C7">
      <w:pPr>
        <w:jc w:val="both"/>
        <w:rPr>
          <w:sz w:val="22"/>
          <w:szCs w:val="22"/>
          <w:lang w:val="en-GB"/>
        </w:rPr>
      </w:pPr>
    </w:p>
    <w:p w14:paraId="157801C2" w14:textId="7990AE6B" w:rsidR="000773C7" w:rsidRPr="00124536" w:rsidRDefault="000773C7" w:rsidP="000773C7">
      <w:pPr>
        <w:jc w:val="both"/>
        <w:rPr>
          <w:sz w:val="22"/>
          <w:szCs w:val="22"/>
          <w:lang w:val="en-GB"/>
        </w:rPr>
      </w:pPr>
      <w:r w:rsidRPr="00506334">
        <w:rPr>
          <w:sz w:val="22"/>
          <w:szCs w:val="22"/>
          <w:lang w:val="en-GB"/>
        </w:rPr>
        <w:t>Women with disabilities</w:t>
      </w:r>
      <w:r w:rsidR="00CD7972">
        <w:rPr>
          <w:sz w:val="22"/>
          <w:szCs w:val="22"/>
          <w:lang w:val="en-GB"/>
        </w:rPr>
        <w:t xml:space="preserve"> </w:t>
      </w:r>
      <w:r w:rsidRPr="00506334">
        <w:rPr>
          <w:sz w:val="22"/>
          <w:szCs w:val="22"/>
          <w:lang w:val="en-GB"/>
        </w:rPr>
        <w:t>experience domestic violence</w:t>
      </w:r>
      <w:r w:rsidR="0068620C">
        <w:rPr>
          <w:sz w:val="22"/>
          <w:szCs w:val="22"/>
          <w:lang w:val="en-GB"/>
        </w:rPr>
        <w:t xml:space="preserve"> </w:t>
      </w:r>
      <w:r w:rsidRPr="00506334">
        <w:rPr>
          <w:sz w:val="22"/>
          <w:szCs w:val="22"/>
          <w:lang w:val="en-GB"/>
        </w:rPr>
        <w:t>in unique ways and at higher rates than other women, increasing the risk that they</w:t>
      </w:r>
      <w:r w:rsidR="00BC1F85">
        <w:rPr>
          <w:sz w:val="22"/>
          <w:szCs w:val="22"/>
          <w:lang w:val="en-GB"/>
        </w:rPr>
        <w:t xml:space="preserve"> </w:t>
      </w:r>
      <w:r w:rsidRPr="00506334">
        <w:rPr>
          <w:sz w:val="22"/>
          <w:szCs w:val="22"/>
          <w:lang w:val="en-GB"/>
        </w:rPr>
        <w:t xml:space="preserve">will be </w:t>
      </w:r>
      <w:r w:rsidR="0068620C">
        <w:rPr>
          <w:sz w:val="22"/>
          <w:szCs w:val="22"/>
          <w:lang w:val="en-GB"/>
        </w:rPr>
        <w:t xml:space="preserve">killed </w:t>
      </w:r>
      <w:r w:rsidRPr="00506334">
        <w:rPr>
          <w:sz w:val="22"/>
          <w:szCs w:val="22"/>
          <w:lang w:val="en-GB"/>
        </w:rPr>
        <w:t>by family members</w:t>
      </w:r>
      <w:r w:rsidR="00805055">
        <w:rPr>
          <w:sz w:val="22"/>
          <w:szCs w:val="22"/>
          <w:lang w:val="en-GB"/>
        </w:rPr>
        <w:t>, caregivers,</w:t>
      </w:r>
      <w:r w:rsidRPr="00506334">
        <w:rPr>
          <w:sz w:val="22"/>
          <w:szCs w:val="22"/>
          <w:lang w:val="en-GB"/>
        </w:rPr>
        <w:t xml:space="preserve"> or intimate partners. Women with disabilities worldwide experience domestic violence—including physical, sexual, emotional, psychological, and financial abuse—at twice the rate of other women.</w:t>
      </w:r>
      <w:r w:rsidRPr="00506334">
        <w:rPr>
          <w:sz w:val="22"/>
          <w:szCs w:val="22"/>
          <w:vertAlign w:val="superscript"/>
          <w:lang w:val="en-GB"/>
        </w:rPr>
        <w:endnoteReference w:id="25"/>
      </w:r>
      <w:r w:rsidRPr="00506334">
        <w:rPr>
          <w:sz w:val="22"/>
          <w:szCs w:val="22"/>
          <w:lang w:val="en-GB"/>
        </w:rPr>
        <w:t xml:space="preserve"> Indeed, the notion that they are often considered less eligible for marriage can make women with disabilities particularly vulnerable to unstable romantic relationships that can lead to intimate partner violence.</w:t>
      </w:r>
      <w:r w:rsidRPr="00506334">
        <w:rPr>
          <w:sz w:val="22"/>
          <w:szCs w:val="22"/>
          <w:vertAlign w:val="superscript"/>
          <w:lang w:val="en-GB"/>
        </w:rPr>
        <w:endnoteReference w:id="26"/>
      </w:r>
      <w:r w:rsidRPr="00124536">
        <w:rPr>
          <w:sz w:val="22"/>
          <w:szCs w:val="22"/>
          <w:lang w:val="en-GB"/>
        </w:rPr>
        <w:t xml:space="preserve"> </w:t>
      </w:r>
    </w:p>
    <w:p w14:paraId="37E82666" w14:textId="77777777" w:rsidR="000773C7" w:rsidRPr="00124536" w:rsidRDefault="000773C7" w:rsidP="000773C7">
      <w:pPr>
        <w:jc w:val="both"/>
        <w:rPr>
          <w:sz w:val="22"/>
          <w:szCs w:val="22"/>
          <w:lang w:val="en-GB"/>
        </w:rPr>
      </w:pPr>
    </w:p>
    <w:p w14:paraId="4B105E34" w14:textId="77777777" w:rsidR="006C7329" w:rsidRDefault="000773C7" w:rsidP="000773C7">
      <w:pPr>
        <w:jc w:val="both"/>
        <w:rPr>
          <w:sz w:val="22"/>
          <w:szCs w:val="22"/>
        </w:rPr>
      </w:pPr>
      <w:r w:rsidRPr="00301DCD">
        <w:rPr>
          <w:sz w:val="22"/>
          <w:szCs w:val="22"/>
          <w:lang w:val="en-GB"/>
        </w:rPr>
        <w:t>Disabil</w:t>
      </w:r>
      <w:r w:rsidR="0068620C">
        <w:rPr>
          <w:sz w:val="22"/>
          <w:szCs w:val="22"/>
          <w:lang w:val="en-GB"/>
        </w:rPr>
        <w:t xml:space="preserve">ity status itself </w:t>
      </w:r>
      <w:r w:rsidRPr="00301DCD">
        <w:rPr>
          <w:sz w:val="22"/>
          <w:szCs w:val="22"/>
          <w:lang w:val="en-GB"/>
        </w:rPr>
        <w:t>can exacerbate domestic violence</w:t>
      </w:r>
      <w:r w:rsidR="00CD7972">
        <w:rPr>
          <w:sz w:val="22"/>
          <w:szCs w:val="22"/>
          <w:lang w:val="en-GB"/>
        </w:rPr>
        <w:t>, elevating the risk of</w:t>
      </w:r>
      <w:r w:rsidR="00DE2C27" w:rsidRPr="00301DCD">
        <w:rPr>
          <w:sz w:val="22"/>
          <w:szCs w:val="22"/>
          <w:lang w:val="en-GB"/>
        </w:rPr>
        <w:t xml:space="preserve"> femicide</w:t>
      </w:r>
      <w:r w:rsidRPr="00301DCD">
        <w:rPr>
          <w:sz w:val="22"/>
          <w:szCs w:val="22"/>
          <w:lang w:val="en-GB"/>
        </w:rPr>
        <w:t>. For instance, in a 2007 survey of victims of domestic violence in the United Kingdom (UK), all 30 women with disabilities who participated in the survey reported that being disabled worsened the abuse and made it more difficult for them to leave abusive situations.</w:t>
      </w:r>
      <w:r w:rsidRPr="00301DCD">
        <w:rPr>
          <w:rStyle w:val="EndnoteReference"/>
          <w:sz w:val="22"/>
          <w:szCs w:val="22"/>
          <w:lang w:val="en-GB"/>
        </w:rPr>
        <w:endnoteReference w:id="27"/>
      </w:r>
      <w:r w:rsidRPr="00301DCD">
        <w:rPr>
          <w:sz w:val="22"/>
          <w:szCs w:val="22"/>
          <w:lang w:val="en-GB"/>
        </w:rPr>
        <w:t xml:space="preserve"> Reports indicate that women with disabilities in the UK are also subject to such violence at the hands of a wider variety of people, including intimate partners, family members, caregivers, and health care workers.</w:t>
      </w:r>
      <w:r w:rsidRPr="00301DCD">
        <w:rPr>
          <w:rStyle w:val="EndnoteReference"/>
          <w:sz w:val="22"/>
          <w:szCs w:val="22"/>
          <w:lang w:val="en-GB"/>
        </w:rPr>
        <w:endnoteReference w:id="28"/>
      </w:r>
      <w:r w:rsidRPr="00301DCD">
        <w:rPr>
          <w:sz w:val="22"/>
          <w:szCs w:val="22"/>
          <w:lang w:val="en-GB"/>
        </w:rPr>
        <w:t xml:space="preserve"> </w:t>
      </w:r>
      <w:r w:rsidR="00CD7972">
        <w:rPr>
          <w:sz w:val="22"/>
          <w:szCs w:val="22"/>
          <w:lang w:val="en-GB"/>
        </w:rPr>
        <w:t>Furthermore, a</w:t>
      </w:r>
      <w:r w:rsidR="00CD7972" w:rsidRPr="00301DCD">
        <w:rPr>
          <w:sz w:val="22"/>
          <w:szCs w:val="22"/>
          <w:lang w:val="en-GB"/>
        </w:rPr>
        <w:t xml:space="preserve"> 2015 review by Public Health England—a UK government body—found that persons with disabilities who experienced greater limitations on their daily activities are two to three times more likely to experience violence, including domestic violence, than non-disabled persons.</w:t>
      </w:r>
      <w:r w:rsidR="00CD7972" w:rsidRPr="00301DCD">
        <w:rPr>
          <w:rStyle w:val="EndnoteReference"/>
          <w:sz w:val="22"/>
          <w:szCs w:val="22"/>
          <w:lang w:val="en-GB"/>
        </w:rPr>
        <w:endnoteReference w:id="29"/>
      </w:r>
      <w:r w:rsidR="00CD7972">
        <w:rPr>
          <w:sz w:val="22"/>
          <w:szCs w:val="22"/>
          <w:lang w:val="en-GB"/>
        </w:rPr>
        <w:t xml:space="preserve"> </w:t>
      </w:r>
      <w:r w:rsidRPr="00301DCD">
        <w:rPr>
          <w:sz w:val="22"/>
          <w:szCs w:val="22"/>
          <w:lang w:val="en-GB"/>
        </w:rPr>
        <w:t xml:space="preserve">Women with disabilities in India similarly report that they are at an increased risk of violence as a result of their disability, due either to their perceived vulnerability or </w:t>
      </w:r>
      <w:r w:rsidRPr="00301DCD">
        <w:rPr>
          <w:sz w:val="22"/>
          <w:szCs w:val="22"/>
        </w:rPr>
        <w:t>the stigma associated with disability itself, particularly within families and marital homes.</w:t>
      </w:r>
      <w:r w:rsidRPr="00301DCD">
        <w:rPr>
          <w:sz w:val="22"/>
          <w:szCs w:val="22"/>
          <w:vertAlign w:val="superscript"/>
        </w:rPr>
        <w:endnoteReference w:id="30"/>
      </w:r>
      <w:r w:rsidRPr="00301DCD">
        <w:rPr>
          <w:sz w:val="22"/>
          <w:szCs w:val="22"/>
        </w:rPr>
        <w:t xml:space="preserve"> In a limited study of women with disabilities in Mumbai, for instance, 22% of married respondents reported that they had experienced some form of physical violence from their partners, while 23% reported emotional violence,</w:t>
      </w:r>
      <w:r w:rsidRPr="00301DCD">
        <w:rPr>
          <w:sz w:val="22"/>
          <w:szCs w:val="22"/>
          <w:vertAlign w:val="superscript"/>
        </w:rPr>
        <w:endnoteReference w:id="31"/>
      </w:r>
      <w:r w:rsidRPr="00301DCD">
        <w:rPr>
          <w:sz w:val="22"/>
          <w:szCs w:val="22"/>
        </w:rPr>
        <w:t xml:space="preserve"> including threats of abandonment.</w:t>
      </w:r>
      <w:r w:rsidRPr="00301DCD">
        <w:rPr>
          <w:sz w:val="22"/>
          <w:szCs w:val="22"/>
          <w:vertAlign w:val="superscript"/>
        </w:rPr>
        <w:endnoteReference w:id="32"/>
      </w:r>
      <w:r w:rsidRPr="00301DCD">
        <w:rPr>
          <w:sz w:val="22"/>
          <w:szCs w:val="22"/>
        </w:rPr>
        <w:t xml:space="preserve"> Of these women, 81% felt that the violence was due to their disability.</w:t>
      </w:r>
      <w:r w:rsidRPr="00301DCD">
        <w:rPr>
          <w:sz w:val="22"/>
          <w:szCs w:val="22"/>
          <w:vertAlign w:val="superscript"/>
        </w:rPr>
        <w:endnoteReference w:id="33"/>
      </w:r>
      <w:r w:rsidRPr="00301DCD">
        <w:rPr>
          <w:sz w:val="22"/>
          <w:szCs w:val="22"/>
        </w:rPr>
        <w:t xml:space="preserve"> </w:t>
      </w:r>
    </w:p>
    <w:p w14:paraId="2C7EF43B" w14:textId="77777777" w:rsidR="006C7329" w:rsidRDefault="006C7329" w:rsidP="000773C7">
      <w:pPr>
        <w:jc w:val="both"/>
        <w:rPr>
          <w:sz w:val="22"/>
          <w:szCs w:val="22"/>
        </w:rPr>
      </w:pPr>
    </w:p>
    <w:p w14:paraId="0EED0893" w14:textId="14D56DF5" w:rsidR="00EC35E6" w:rsidRPr="006B5694" w:rsidRDefault="005C0350" w:rsidP="006B5694">
      <w:pPr>
        <w:jc w:val="both"/>
        <w:rPr>
          <w:sz w:val="22"/>
          <w:szCs w:val="22"/>
          <w:lang w:val="en-GB"/>
        </w:rPr>
      </w:pPr>
      <w:r>
        <w:rPr>
          <w:sz w:val="22"/>
          <w:szCs w:val="22"/>
        </w:rPr>
        <w:t xml:space="preserve">In Mexico, according to a report prepared by </w:t>
      </w:r>
      <w:r w:rsidRPr="005C0350">
        <w:rPr>
          <w:i/>
          <w:sz w:val="22"/>
          <w:szCs w:val="22"/>
        </w:rPr>
        <w:t>Fundación Paso a Paso</w:t>
      </w:r>
      <w:r>
        <w:rPr>
          <w:sz w:val="22"/>
          <w:szCs w:val="22"/>
        </w:rPr>
        <w:t>,</w:t>
      </w:r>
      <w:r>
        <w:rPr>
          <w:rStyle w:val="EndnoteReference"/>
          <w:sz w:val="22"/>
          <w:szCs w:val="22"/>
        </w:rPr>
        <w:endnoteReference w:id="34"/>
      </w:r>
      <w:r>
        <w:rPr>
          <w:sz w:val="22"/>
          <w:szCs w:val="22"/>
        </w:rPr>
        <w:t xml:space="preserve"> indigenous women with disabilities are subject to particular forms of violence</w:t>
      </w:r>
      <w:r w:rsidR="00CD7972">
        <w:rPr>
          <w:sz w:val="22"/>
          <w:szCs w:val="22"/>
        </w:rPr>
        <w:t xml:space="preserve">, and this violence is </w:t>
      </w:r>
      <w:r>
        <w:rPr>
          <w:sz w:val="22"/>
          <w:szCs w:val="22"/>
        </w:rPr>
        <w:t>aggravated by their lack of awareness of what constitutes violence</w:t>
      </w:r>
      <w:r w:rsidR="00675898">
        <w:rPr>
          <w:sz w:val="22"/>
          <w:szCs w:val="22"/>
        </w:rPr>
        <w:t xml:space="preserve">, </w:t>
      </w:r>
      <w:r w:rsidR="00DD5F65">
        <w:rPr>
          <w:sz w:val="22"/>
          <w:szCs w:val="22"/>
        </w:rPr>
        <w:t xml:space="preserve">and </w:t>
      </w:r>
      <w:r w:rsidR="00675898">
        <w:rPr>
          <w:sz w:val="22"/>
          <w:szCs w:val="22"/>
        </w:rPr>
        <w:t xml:space="preserve">the internalization of </w:t>
      </w:r>
      <w:r w:rsidR="00CD7972">
        <w:rPr>
          <w:sz w:val="22"/>
          <w:szCs w:val="22"/>
        </w:rPr>
        <w:t>violence</w:t>
      </w:r>
      <w:r w:rsidR="00675898">
        <w:rPr>
          <w:sz w:val="22"/>
          <w:szCs w:val="22"/>
        </w:rPr>
        <w:t xml:space="preserve"> as something</w:t>
      </w:r>
      <w:r w:rsidR="00DD5F65">
        <w:rPr>
          <w:sz w:val="22"/>
          <w:szCs w:val="22"/>
        </w:rPr>
        <w:t xml:space="preserve"> inevitable or deserved combined with</w:t>
      </w:r>
      <w:r w:rsidR="00CD7972">
        <w:rPr>
          <w:sz w:val="22"/>
          <w:szCs w:val="22"/>
        </w:rPr>
        <w:t xml:space="preserve"> a </w:t>
      </w:r>
      <w:r>
        <w:rPr>
          <w:sz w:val="22"/>
          <w:szCs w:val="22"/>
        </w:rPr>
        <w:t>fear</w:t>
      </w:r>
      <w:r w:rsidR="00CD7972">
        <w:rPr>
          <w:sz w:val="22"/>
          <w:szCs w:val="22"/>
        </w:rPr>
        <w:t xml:space="preserve"> of</w:t>
      </w:r>
      <w:r>
        <w:rPr>
          <w:sz w:val="22"/>
          <w:szCs w:val="22"/>
        </w:rPr>
        <w:t xml:space="preserve"> speak</w:t>
      </w:r>
      <w:r w:rsidR="00CD7972">
        <w:rPr>
          <w:sz w:val="22"/>
          <w:szCs w:val="22"/>
        </w:rPr>
        <w:t xml:space="preserve">ing </w:t>
      </w:r>
      <w:r>
        <w:rPr>
          <w:sz w:val="22"/>
          <w:szCs w:val="22"/>
        </w:rPr>
        <w:t>out</w:t>
      </w:r>
      <w:r w:rsidR="00CD7972">
        <w:rPr>
          <w:sz w:val="22"/>
          <w:szCs w:val="22"/>
        </w:rPr>
        <w:t>, situations that are all exacerbated by their disability status.</w:t>
      </w:r>
      <w:r w:rsidR="005611FA">
        <w:rPr>
          <w:rStyle w:val="EndnoteReference"/>
          <w:sz w:val="22"/>
          <w:szCs w:val="22"/>
        </w:rPr>
        <w:endnoteReference w:id="35"/>
      </w:r>
      <w:r>
        <w:rPr>
          <w:sz w:val="22"/>
          <w:szCs w:val="22"/>
        </w:rPr>
        <w:t xml:space="preserve"> </w:t>
      </w:r>
      <w:r w:rsidR="00CD7972">
        <w:rPr>
          <w:sz w:val="22"/>
          <w:szCs w:val="22"/>
          <w:lang w:val="en-GB"/>
        </w:rPr>
        <w:t>Women with disabilities worldwide may also be subjected to what, because of their disability, the media portrays as “mercy-killings”</w:t>
      </w:r>
      <w:r w:rsidR="006B5694">
        <w:rPr>
          <w:sz w:val="22"/>
          <w:szCs w:val="22"/>
          <w:lang w:val="en-GB"/>
        </w:rPr>
        <w:t xml:space="preserve"> in which perpetrators are</w:t>
      </w:r>
      <w:r w:rsidR="006B5694" w:rsidRPr="006B5694">
        <w:rPr>
          <w:sz w:val="22"/>
          <w:szCs w:val="22"/>
          <w:lang w:val="en-GB"/>
        </w:rPr>
        <w:t xml:space="preserve"> </w:t>
      </w:r>
      <w:r w:rsidR="006B5694">
        <w:rPr>
          <w:sz w:val="22"/>
          <w:szCs w:val="22"/>
          <w:lang w:val="en-GB"/>
        </w:rPr>
        <w:t xml:space="preserve">“caring [and] </w:t>
      </w:r>
      <w:r w:rsidR="006B5694" w:rsidRPr="006B5694">
        <w:rPr>
          <w:sz w:val="22"/>
          <w:szCs w:val="22"/>
          <w:lang w:val="en-GB"/>
        </w:rPr>
        <w:t>loving individuals who acted out of compassion</w:t>
      </w:r>
      <w:r w:rsidR="006B5694">
        <w:rPr>
          <w:sz w:val="22"/>
          <w:szCs w:val="22"/>
          <w:lang w:val="en-GB"/>
        </w:rPr>
        <w:t>.”</w:t>
      </w:r>
      <w:r w:rsidR="006B5694">
        <w:rPr>
          <w:rStyle w:val="EndnoteReference"/>
          <w:sz w:val="22"/>
          <w:szCs w:val="22"/>
          <w:lang w:val="en-GB"/>
        </w:rPr>
        <w:endnoteReference w:id="36"/>
      </w:r>
      <w:r w:rsidR="00CD7972">
        <w:rPr>
          <w:sz w:val="22"/>
          <w:szCs w:val="22"/>
          <w:lang w:val="en-GB"/>
        </w:rPr>
        <w:t xml:space="preserve"> </w:t>
      </w:r>
      <w:r w:rsidR="006B5694">
        <w:rPr>
          <w:sz w:val="22"/>
          <w:szCs w:val="22"/>
          <w:lang w:val="en-GB"/>
        </w:rPr>
        <w:t>However,</w:t>
      </w:r>
      <w:r w:rsidR="00CD7972">
        <w:rPr>
          <w:sz w:val="22"/>
          <w:szCs w:val="22"/>
          <w:lang w:val="en-GB"/>
        </w:rPr>
        <w:t xml:space="preserve"> this interpretation someti</w:t>
      </w:r>
      <w:r w:rsidR="0068620C">
        <w:rPr>
          <w:sz w:val="22"/>
          <w:szCs w:val="22"/>
          <w:lang w:val="en-GB"/>
        </w:rPr>
        <w:t>mes hides that these murders</w:t>
      </w:r>
      <w:r w:rsidR="00CD7972">
        <w:rPr>
          <w:sz w:val="22"/>
          <w:szCs w:val="22"/>
          <w:lang w:val="en-GB"/>
        </w:rPr>
        <w:t xml:space="preserve"> actually follow from a history of abuse.</w:t>
      </w:r>
      <w:r w:rsidR="00CD7972">
        <w:rPr>
          <w:rStyle w:val="EndnoteReference"/>
          <w:sz w:val="22"/>
          <w:szCs w:val="22"/>
          <w:lang w:val="en-GB"/>
        </w:rPr>
        <w:endnoteReference w:id="37"/>
      </w:r>
      <w:r w:rsidR="00EC35E6">
        <w:rPr>
          <w:sz w:val="22"/>
          <w:szCs w:val="22"/>
          <w:lang w:val="en-GB"/>
        </w:rPr>
        <w:t xml:space="preserve"> </w:t>
      </w:r>
      <w:r w:rsidR="006C7329" w:rsidRPr="001237B4">
        <w:rPr>
          <w:sz w:val="22"/>
          <w:szCs w:val="22"/>
          <w:lang w:val="en-GB"/>
        </w:rPr>
        <w:t>A</w:t>
      </w:r>
      <w:r w:rsidR="00C76732" w:rsidRPr="001237B4">
        <w:rPr>
          <w:sz w:val="22"/>
          <w:szCs w:val="22"/>
          <w:lang w:val="en-GB"/>
        </w:rPr>
        <w:t>lthough not an incident of domestic violence, a</w:t>
      </w:r>
      <w:r w:rsidR="006C7329" w:rsidRPr="001237B4">
        <w:rPr>
          <w:sz w:val="22"/>
          <w:szCs w:val="22"/>
          <w:lang w:val="en-GB"/>
        </w:rPr>
        <w:t xml:space="preserve"> 2016 </w:t>
      </w:r>
      <w:r w:rsidR="00EC35E6" w:rsidRPr="001237B4">
        <w:rPr>
          <w:sz w:val="22"/>
          <w:szCs w:val="22"/>
          <w:lang w:val="en-GB"/>
        </w:rPr>
        <w:t>case</w:t>
      </w:r>
      <w:r w:rsidR="006C7329" w:rsidRPr="001237B4">
        <w:rPr>
          <w:sz w:val="22"/>
          <w:szCs w:val="22"/>
          <w:lang w:val="en-GB"/>
        </w:rPr>
        <w:t xml:space="preserve"> in which three Deaf women street vendors in Haiti were </w:t>
      </w:r>
      <w:r w:rsidR="00EC35E6" w:rsidRPr="001237B4">
        <w:rPr>
          <w:sz w:val="22"/>
          <w:szCs w:val="22"/>
          <w:lang w:val="en-GB"/>
        </w:rPr>
        <w:t xml:space="preserve">tortured and </w:t>
      </w:r>
      <w:r w:rsidR="006C7329" w:rsidRPr="001237B4">
        <w:rPr>
          <w:sz w:val="22"/>
          <w:szCs w:val="22"/>
          <w:lang w:val="en-GB"/>
        </w:rPr>
        <w:t>murdered</w:t>
      </w:r>
      <w:r w:rsidR="00EC35E6" w:rsidRPr="001237B4">
        <w:rPr>
          <w:sz w:val="22"/>
          <w:szCs w:val="22"/>
          <w:lang w:val="en-GB"/>
        </w:rPr>
        <w:t xml:space="preserve">, following a fear that they might be evil spirits known as </w:t>
      </w:r>
      <w:r w:rsidR="00EC35E6" w:rsidRPr="001237B4">
        <w:rPr>
          <w:i/>
          <w:iCs/>
          <w:sz w:val="22"/>
          <w:szCs w:val="22"/>
        </w:rPr>
        <w:t>lougawou</w:t>
      </w:r>
      <w:r w:rsidR="00EC35E6" w:rsidRPr="001237B4">
        <w:rPr>
          <w:iCs/>
          <w:sz w:val="22"/>
          <w:szCs w:val="22"/>
        </w:rPr>
        <w:t xml:space="preserve">, </w:t>
      </w:r>
      <w:r w:rsidR="00EC35E6" w:rsidRPr="001237B4">
        <w:rPr>
          <w:iCs/>
          <w:sz w:val="22"/>
          <w:szCs w:val="22"/>
        </w:rPr>
        <w:lastRenderedPageBreak/>
        <w:t>further illustrates how stigma against and stereotypes about women with disabilities can lead to violence, including femicide.</w:t>
      </w:r>
      <w:r w:rsidR="00EC35E6" w:rsidRPr="001237B4">
        <w:rPr>
          <w:rStyle w:val="EndnoteReference"/>
          <w:iCs/>
          <w:sz w:val="22"/>
          <w:szCs w:val="22"/>
        </w:rPr>
        <w:endnoteReference w:id="38"/>
      </w:r>
    </w:p>
    <w:p w14:paraId="4599296C" w14:textId="77777777" w:rsidR="000773C7" w:rsidRPr="00301DCD" w:rsidRDefault="000773C7" w:rsidP="000773C7">
      <w:pPr>
        <w:jc w:val="both"/>
        <w:rPr>
          <w:sz w:val="22"/>
          <w:szCs w:val="22"/>
          <w:lang w:val="en-GB"/>
        </w:rPr>
      </w:pPr>
    </w:p>
    <w:p w14:paraId="1FD6F3B2" w14:textId="13A5814F" w:rsidR="000773C7" w:rsidRDefault="000773C7" w:rsidP="000773C7">
      <w:pPr>
        <w:jc w:val="both"/>
        <w:rPr>
          <w:sz w:val="22"/>
          <w:szCs w:val="22"/>
          <w:lang w:val="en-GB"/>
        </w:rPr>
      </w:pPr>
      <w:r w:rsidRPr="00301DCD">
        <w:rPr>
          <w:sz w:val="22"/>
          <w:szCs w:val="22"/>
          <w:lang w:val="en-GB"/>
        </w:rPr>
        <w:t>For women with disabilities, leaving a violent home environment can prove difficult. Those fleeing abusive homes may be physically unable to leave, particularly where public transportation is inaccessible.</w:t>
      </w:r>
      <w:r w:rsidRPr="00301DCD">
        <w:rPr>
          <w:rStyle w:val="EndnoteReference"/>
          <w:sz w:val="22"/>
          <w:szCs w:val="22"/>
          <w:lang w:val="en-GB"/>
        </w:rPr>
        <w:endnoteReference w:id="39"/>
      </w:r>
      <w:r w:rsidRPr="00301DCD">
        <w:rPr>
          <w:sz w:val="22"/>
          <w:szCs w:val="22"/>
          <w:lang w:val="en-GB"/>
        </w:rPr>
        <w:t xml:space="preserve"> Women with disabilities may also be reliant on the</w:t>
      </w:r>
      <w:r w:rsidR="00CD7972">
        <w:rPr>
          <w:sz w:val="22"/>
          <w:szCs w:val="22"/>
          <w:lang w:val="en-GB"/>
        </w:rPr>
        <w:t>ir</w:t>
      </w:r>
      <w:r w:rsidRPr="00301DCD">
        <w:rPr>
          <w:sz w:val="22"/>
          <w:szCs w:val="22"/>
          <w:lang w:val="en-GB"/>
        </w:rPr>
        <w:t xml:space="preserve"> abuser to meet personal needs; indeed, when the abuser is also a caregiver, it is frequently impossible for women with disabilities to get help.</w:t>
      </w:r>
      <w:r w:rsidRPr="00301DCD">
        <w:rPr>
          <w:rStyle w:val="EndnoteReference"/>
          <w:sz w:val="22"/>
          <w:szCs w:val="22"/>
          <w:lang w:val="en-GB"/>
        </w:rPr>
        <w:endnoteReference w:id="40"/>
      </w:r>
      <w:r w:rsidRPr="00301DCD">
        <w:rPr>
          <w:sz w:val="22"/>
          <w:szCs w:val="22"/>
          <w:lang w:val="en-GB"/>
        </w:rPr>
        <w:t xml:space="preserve"> These factors mean that women with disabilities often experience domestic violence for a longer period of time before attempting to leave their abusers,</w:t>
      </w:r>
      <w:r w:rsidRPr="00301DCD">
        <w:rPr>
          <w:rStyle w:val="EndnoteReference"/>
          <w:sz w:val="22"/>
          <w:szCs w:val="22"/>
          <w:lang w:val="en-GB"/>
        </w:rPr>
        <w:endnoteReference w:id="41"/>
      </w:r>
      <w:r w:rsidRPr="00301DCD">
        <w:rPr>
          <w:sz w:val="22"/>
          <w:szCs w:val="22"/>
          <w:lang w:val="en-GB"/>
        </w:rPr>
        <w:t xml:space="preserve"> a situation that can elevate the risk of that violence escalating and leading to</w:t>
      </w:r>
      <w:r w:rsidR="00CD7972">
        <w:rPr>
          <w:sz w:val="22"/>
          <w:szCs w:val="22"/>
          <w:lang w:val="en-GB"/>
        </w:rPr>
        <w:t xml:space="preserve"> femicide</w:t>
      </w:r>
      <w:r w:rsidRPr="00301DCD">
        <w:rPr>
          <w:sz w:val="22"/>
          <w:szCs w:val="22"/>
          <w:lang w:val="en-GB"/>
        </w:rPr>
        <w:t>.</w:t>
      </w:r>
    </w:p>
    <w:p w14:paraId="646A4551" w14:textId="5BF2130F" w:rsidR="003C268D" w:rsidRDefault="003C268D" w:rsidP="000773C7">
      <w:pPr>
        <w:jc w:val="both"/>
        <w:rPr>
          <w:sz w:val="22"/>
          <w:szCs w:val="22"/>
          <w:lang w:val="en-GB"/>
        </w:rPr>
      </w:pPr>
    </w:p>
    <w:p w14:paraId="5041E7A5" w14:textId="780C1744" w:rsidR="003C268D" w:rsidRPr="003C268D" w:rsidRDefault="003C268D" w:rsidP="006D34A0">
      <w:pPr>
        <w:pStyle w:val="ListParagraph"/>
        <w:numPr>
          <w:ilvl w:val="0"/>
          <w:numId w:val="10"/>
        </w:numPr>
        <w:jc w:val="both"/>
        <w:rPr>
          <w:b/>
          <w:sz w:val="22"/>
          <w:szCs w:val="22"/>
        </w:rPr>
      </w:pPr>
      <w:r w:rsidRPr="00124536">
        <w:rPr>
          <w:b/>
          <w:sz w:val="22"/>
          <w:szCs w:val="22"/>
        </w:rPr>
        <w:t>Infanticide of Girls with Disabilities</w:t>
      </w:r>
    </w:p>
    <w:p w14:paraId="0F5CD6CC" w14:textId="77777777" w:rsidR="003C268D" w:rsidRDefault="003C268D" w:rsidP="003C268D">
      <w:pPr>
        <w:jc w:val="both"/>
        <w:rPr>
          <w:sz w:val="22"/>
          <w:szCs w:val="22"/>
        </w:rPr>
      </w:pPr>
    </w:p>
    <w:p w14:paraId="5BBDC9C3" w14:textId="7508B929" w:rsidR="003C268D" w:rsidRPr="00124536" w:rsidRDefault="003C268D" w:rsidP="003C268D">
      <w:pPr>
        <w:jc w:val="both"/>
        <w:rPr>
          <w:sz w:val="22"/>
          <w:szCs w:val="22"/>
        </w:rPr>
      </w:pPr>
      <w:r w:rsidRPr="00124536">
        <w:rPr>
          <w:sz w:val="22"/>
          <w:szCs w:val="22"/>
        </w:rPr>
        <w:t xml:space="preserve">Girls with disabilities are also at risk of </w:t>
      </w:r>
      <w:r>
        <w:rPr>
          <w:sz w:val="22"/>
          <w:szCs w:val="22"/>
        </w:rPr>
        <w:t>infanticide.</w:t>
      </w:r>
      <w:r w:rsidRPr="00124536">
        <w:rPr>
          <w:sz w:val="22"/>
          <w:szCs w:val="22"/>
        </w:rPr>
        <w:t xml:space="preserve"> As the CRPD Committee notes in its General Comment No. 3 on women and girls with disabilities, girls with disabilities are particularly susceptible to infanticide, “because their families are unwilling or lack the support to raise a girl with an impairment.”</w:t>
      </w:r>
      <w:r w:rsidRPr="00124536">
        <w:rPr>
          <w:rStyle w:val="EndnoteReference"/>
          <w:sz w:val="22"/>
          <w:szCs w:val="22"/>
        </w:rPr>
        <w:endnoteReference w:id="42"/>
      </w:r>
      <w:r w:rsidRPr="00124536">
        <w:rPr>
          <w:sz w:val="22"/>
          <w:szCs w:val="22"/>
        </w:rPr>
        <w:t xml:space="preserve"> In its thematic study on violence against women and girls with disabilities, the UN Office of the High Commissioner for Human Rights (OHCHR) found that “gender-specific neglect may compound discrimination against girl children with disabilities, who are particularly vulnerable to violence and harmful practices, including infanticide … perpetrated by family members, members of the community and by those with specific responsibilities towards them, including teachers and employees of children institutions.”</w:t>
      </w:r>
      <w:r w:rsidRPr="00124536">
        <w:rPr>
          <w:rStyle w:val="EndnoteReference"/>
          <w:sz w:val="22"/>
          <w:szCs w:val="22"/>
        </w:rPr>
        <w:endnoteReference w:id="43"/>
      </w:r>
      <w:r w:rsidR="00C65806">
        <w:rPr>
          <w:sz w:val="22"/>
          <w:szCs w:val="22"/>
        </w:rPr>
        <w:t xml:space="preserve"> This may be because, as the Committee on the Rights of the Child (CRC Committee) points out</w:t>
      </w:r>
      <w:r w:rsidR="00C65806" w:rsidRPr="00124536">
        <w:rPr>
          <w:sz w:val="22"/>
          <w:szCs w:val="22"/>
        </w:rPr>
        <w:t xml:space="preserve"> in its General Comment No. 9 on children with disabilities, “some cultures view a child with any form of disability as a bad omen that may ‘tarnish the family pedigree’ and, accordingly, a certain designated individual from the community systematically kills children with disabilities.”</w:t>
      </w:r>
      <w:r w:rsidR="00C65806" w:rsidRPr="00124536">
        <w:rPr>
          <w:rStyle w:val="EndnoteReference"/>
          <w:sz w:val="22"/>
          <w:szCs w:val="22"/>
        </w:rPr>
        <w:endnoteReference w:id="44"/>
      </w:r>
      <w:r w:rsidR="00C65806">
        <w:rPr>
          <w:sz w:val="22"/>
          <w:szCs w:val="22"/>
        </w:rPr>
        <w:t xml:space="preserve"> </w:t>
      </w:r>
      <w:r w:rsidR="00C65806" w:rsidRPr="00124536">
        <w:rPr>
          <w:sz w:val="22"/>
          <w:szCs w:val="22"/>
        </w:rPr>
        <w:t>Furthermore, the CRC and the CEDAW Committees, in a joint general comment on harmful practices, have found that infanticide and other harmful practices are “strongly connected to and reinforce socially constructed gender roles and systems of patriarchal power relations and sometimes reflect negative perceptions of or discriminatory beliefs regarding certain disadvantaged groups of women and children, including individuals with disabilities or albinism.”</w:t>
      </w:r>
      <w:r w:rsidR="00C65806" w:rsidRPr="00124536">
        <w:rPr>
          <w:rStyle w:val="EndnoteReference"/>
          <w:sz w:val="22"/>
          <w:szCs w:val="22"/>
        </w:rPr>
        <w:endnoteReference w:id="45"/>
      </w:r>
    </w:p>
    <w:p w14:paraId="4773EC4D" w14:textId="056E3A4A" w:rsidR="00C65806" w:rsidRDefault="00C65806" w:rsidP="00B80DD7">
      <w:pPr>
        <w:jc w:val="both"/>
        <w:rPr>
          <w:sz w:val="22"/>
          <w:szCs w:val="22"/>
        </w:rPr>
      </w:pPr>
    </w:p>
    <w:p w14:paraId="453D2CB3" w14:textId="09359B6E" w:rsidR="00C65806" w:rsidRDefault="00C65806" w:rsidP="00B80DD7">
      <w:pPr>
        <w:jc w:val="both"/>
        <w:rPr>
          <w:sz w:val="22"/>
          <w:szCs w:val="22"/>
        </w:rPr>
      </w:pPr>
      <w:r w:rsidRPr="00533942">
        <w:rPr>
          <w:sz w:val="22"/>
          <w:szCs w:val="22"/>
        </w:rPr>
        <w:t>These</w:t>
      </w:r>
      <w:r>
        <w:rPr>
          <w:sz w:val="22"/>
          <w:szCs w:val="22"/>
        </w:rPr>
        <w:t xml:space="preserve"> findings are reinforced by a </w:t>
      </w:r>
      <w:r w:rsidR="00EA41C8">
        <w:rPr>
          <w:sz w:val="22"/>
          <w:szCs w:val="22"/>
        </w:rPr>
        <w:t>2005</w:t>
      </w:r>
      <w:r>
        <w:rPr>
          <w:sz w:val="22"/>
          <w:szCs w:val="22"/>
        </w:rPr>
        <w:t xml:space="preserve"> </w:t>
      </w:r>
      <w:r w:rsidRPr="00124536">
        <w:rPr>
          <w:sz w:val="22"/>
          <w:szCs w:val="22"/>
        </w:rPr>
        <w:t>study of violence agai</w:t>
      </w:r>
      <w:r>
        <w:rPr>
          <w:sz w:val="22"/>
          <w:szCs w:val="22"/>
        </w:rPr>
        <w:t xml:space="preserve">nst children with disabilities conducted by </w:t>
      </w:r>
      <w:r w:rsidRPr="00124536">
        <w:rPr>
          <w:sz w:val="22"/>
          <w:szCs w:val="22"/>
        </w:rPr>
        <w:t>the U</w:t>
      </w:r>
      <w:r w:rsidR="006B5694">
        <w:rPr>
          <w:sz w:val="22"/>
          <w:szCs w:val="22"/>
        </w:rPr>
        <w:t>.</w:t>
      </w:r>
      <w:r w:rsidRPr="00124536">
        <w:rPr>
          <w:sz w:val="22"/>
          <w:szCs w:val="22"/>
        </w:rPr>
        <w:t>N</w:t>
      </w:r>
      <w:r w:rsidR="006B5694">
        <w:rPr>
          <w:sz w:val="22"/>
          <w:szCs w:val="22"/>
        </w:rPr>
        <w:t>.</w:t>
      </w:r>
      <w:r w:rsidRPr="00124536">
        <w:rPr>
          <w:sz w:val="22"/>
          <w:szCs w:val="22"/>
        </w:rPr>
        <w:t xml:space="preserve"> International Chi</w:t>
      </w:r>
      <w:r>
        <w:rPr>
          <w:sz w:val="22"/>
          <w:szCs w:val="22"/>
        </w:rPr>
        <w:t xml:space="preserve">ldren’s Emergency Fund (UNICEF). UNICEF </w:t>
      </w:r>
      <w:r w:rsidRPr="00124536">
        <w:rPr>
          <w:sz w:val="22"/>
          <w:szCs w:val="22"/>
        </w:rPr>
        <w:t>found that children with disabilities may be subjected to infanticide at birth or at some point after birth because communities may consider these children to be evil or because families with children with disabilities can face intense stigma.</w:t>
      </w:r>
      <w:r w:rsidRPr="00124536">
        <w:rPr>
          <w:rStyle w:val="EndnoteReference"/>
          <w:sz w:val="22"/>
          <w:szCs w:val="22"/>
        </w:rPr>
        <w:endnoteReference w:id="46"/>
      </w:r>
      <w:r w:rsidRPr="00124536">
        <w:rPr>
          <w:sz w:val="22"/>
          <w:szCs w:val="22"/>
        </w:rPr>
        <w:t xml:space="preserve"> </w:t>
      </w:r>
      <w:r>
        <w:rPr>
          <w:sz w:val="22"/>
          <w:szCs w:val="22"/>
        </w:rPr>
        <w:t>UNICEF</w:t>
      </w:r>
      <w:r w:rsidRPr="00124536">
        <w:rPr>
          <w:sz w:val="22"/>
          <w:szCs w:val="22"/>
        </w:rPr>
        <w:t xml:space="preserve"> also found that infanticide may result from a family’s wish to end the perceived suffering of a child with a disability, often referred to as a “mercy killing.”</w:t>
      </w:r>
      <w:r w:rsidRPr="00124536">
        <w:rPr>
          <w:rStyle w:val="EndnoteReference"/>
          <w:sz w:val="22"/>
          <w:szCs w:val="22"/>
        </w:rPr>
        <w:endnoteReference w:id="47"/>
      </w:r>
      <w:r w:rsidRPr="00124536">
        <w:rPr>
          <w:sz w:val="22"/>
          <w:szCs w:val="22"/>
        </w:rPr>
        <w:t xml:space="preserve"> “Mercy killing” is frequently the result of a lack of social supports for children with disabilities </w:t>
      </w:r>
      <w:r w:rsidR="006B5694">
        <w:rPr>
          <w:sz w:val="22"/>
          <w:szCs w:val="22"/>
        </w:rPr>
        <w:t xml:space="preserve">and their families </w:t>
      </w:r>
      <w:r w:rsidRPr="00124536">
        <w:rPr>
          <w:sz w:val="22"/>
          <w:szCs w:val="22"/>
        </w:rPr>
        <w:t>rather than the actual physical condition of the child himself or herself.</w:t>
      </w:r>
      <w:r w:rsidRPr="00124536">
        <w:rPr>
          <w:rStyle w:val="EndnoteReference"/>
          <w:sz w:val="22"/>
          <w:szCs w:val="22"/>
        </w:rPr>
        <w:endnoteReference w:id="48"/>
      </w:r>
      <w:r>
        <w:rPr>
          <w:sz w:val="22"/>
          <w:szCs w:val="22"/>
        </w:rPr>
        <w:t xml:space="preserve"> UNICEF</w:t>
      </w:r>
      <w:r w:rsidRPr="00124536">
        <w:rPr>
          <w:sz w:val="22"/>
          <w:szCs w:val="22"/>
        </w:rPr>
        <w:t xml:space="preserve"> notes in particular that, in some societies, girls with disabilities are more likely to be subjected to “mercy killings” than are boys of similar age and disability,</w:t>
      </w:r>
      <w:r w:rsidRPr="00124536">
        <w:rPr>
          <w:rStyle w:val="EndnoteReference"/>
          <w:sz w:val="22"/>
          <w:szCs w:val="22"/>
        </w:rPr>
        <w:endnoteReference w:id="49"/>
      </w:r>
      <w:r w:rsidRPr="00124536">
        <w:rPr>
          <w:sz w:val="22"/>
          <w:szCs w:val="22"/>
        </w:rPr>
        <w:t xml:space="preserve"> and children with intellectual disabilities are particularly susceptible to “mercy killings” and infanticide.</w:t>
      </w:r>
      <w:r w:rsidRPr="00124536">
        <w:rPr>
          <w:rStyle w:val="EndnoteReference"/>
          <w:sz w:val="22"/>
          <w:szCs w:val="22"/>
        </w:rPr>
        <w:endnoteReference w:id="50"/>
      </w:r>
    </w:p>
    <w:p w14:paraId="4E5B0ED6" w14:textId="77777777" w:rsidR="00BC1F85" w:rsidRDefault="00BC1F85" w:rsidP="00B80DD7">
      <w:pPr>
        <w:jc w:val="both"/>
        <w:rPr>
          <w:sz w:val="22"/>
          <w:szCs w:val="22"/>
        </w:rPr>
      </w:pPr>
    </w:p>
    <w:p w14:paraId="722D5CCF" w14:textId="4744946B" w:rsidR="00C65806" w:rsidRDefault="0068620C" w:rsidP="003C268D">
      <w:pPr>
        <w:jc w:val="both"/>
        <w:rPr>
          <w:sz w:val="22"/>
          <w:szCs w:val="22"/>
        </w:rPr>
      </w:pPr>
      <w:r>
        <w:rPr>
          <w:sz w:val="22"/>
          <w:szCs w:val="22"/>
        </w:rPr>
        <w:t>WEI was not able to locate n</w:t>
      </w:r>
      <w:r w:rsidR="00BC1F85">
        <w:rPr>
          <w:sz w:val="22"/>
          <w:szCs w:val="22"/>
        </w:rPr>
        <w:t xml:space="preserve">ational-level </w:t>
      </w:r>
      <w:r w:rsidR="00C65806">
        <w:rPr>
          <w:sz w:val="22"/>
          <w:szCs w:val="22"/>
        </w:rPr>
        <w:t xml:space="preserve">data </w:t>
      </w:r>
      <w:r w:rsidR="00BC1F85">
        <w:rPr>
          <w:sz w:val="22"/>
          <w:szCs w:val="22"/>
        </w:rPr>
        <w:t>on the prevalence of infanticide of girls with disabilities</w:t>
      </w:r>
      <w:r>
        <w:rPr>
          <w:sz w:val="22"/>
          <w:szCs w:val="22"/>
        </w:rPr>
        <w:t>, and this information appears to</w:t>
      </w:r>
      <w:r w:rsidR="00BC1F85">
        <w:rPr>
          <w:sz w:val="22"/>
          <w:szCs w:val="22"/>
        </w:rPr>
        <w:t xml:space="preserve"> remain largely qualitative</w:t>
      </w:r>
      <w:r w:rsidR="00C65806">
        <w:rPr>
          <w:sz w:val="22"/>
          <w:szCs w:val="22"/>
        </w:rPr>
        <w:t xml:space="preserve"> or anecdotal</w:t>
      </w:r>
      <w:r w:rsidR="00BC1F85">
        <w:rPr>
          <w:sz w:val="22"/>
          <w:szCs w:val="22"/>
        </w:rPr>
        <w:t xml:space="preserve">. A </w:t>
      </w:r>
      <w:r w:rsidR="00C65806">
        <w:rPr>
          <w:sz w:val="22"/>
          <w:szCs w:val="22"/>
        </w:rPr>
        <w:t>2018</w:t>
      </w:r>
      <w:r w:rsidR="00B80DD7">
        <w:rPr>
          <w:sz w:val="22"/>
          <w:szCs w:val="22"/>
        </w:rPr>
        <w:t xml:space="preserve"> report by Disability Rights International </w:t>
      </w:r>
      <w:r w:rsidR="00C65806">
        <w:rPr>
          <w:sz w:val="22"/>
          <w:szCs w:val="22"/>
        </w:rPr>
        <w:t xml:space="preserve">and the Kenyan Association for the Intellectually Handicapped </w:t>
      </w:r>
      <w:r w:rsidR="00B80DD7">
        <w:rPr>
          <w:sz w:val="22"/>
          <w:szCs w:val="22"/>
        </w:rPr>
        <w:t xml:space="preserve">on </w:t>
      </w:r>
      <w:r w:rsidR="00D066D7">
        <w:rPr>
          <w:sz w:val="22"/>
          <w:szCs w:val="22"/>
        </w:rPr>
        <w:t>i</w:t>
      </w:r>
      <w:r w:rsidR="00B80DD7">
        <w:rPr>
          <w:sz w:val="22"/>
          <w:szCs w:val="22"/>
        </w:rPr>
        <w:t>nfanticide</w:t>
      </w:r>
      <w:r w:rsidR="00BC1F85">
        <w:rPr>
          <w:sz w:val="22"/>
          <w:szCs w:val="22"/>
        </w:rPr>
        <w:t xml:space="preserve"> and institutionalization of children with disabilities</w:t>
      </w:r>
      <w:r w:rsidR="00B80DD7">
        <w:rPr>
          <w:sz w:val="22"/>
          <w:szCs w:val="22"/>
        </w:rPr>
        <w:t xml:space="preserve"> in Kenya found that “all the parents of children with disabilities interviewed stated that</w:t>
      </w:r>
      <w:r w:rsidR="00BC1F85">
        <w:rPr>
          <w:sz w:val="22"/>
          <w:szCs w:val="22"/>
        </w:rPr>
        <w:t xml:space="preserve"> [it]</w:t>
      </w:r>
      <w:r w:rsidR="00B80DD7">
        <w:rPr>
          <w:sz w:val="22"/>
          <w:szCs w:val="22"/>
        </w:rPr>
        <w:t xml:space="preserve"> is a common experience to be pressured to give up or kill </w:t>
      </w:r>
      <w:r w:rsidR="00D066D7">
        <w:rPr>
          <w:sz w:val="22"/>
          <w:szCs w:val="22"/>
        </w:rPr>
        <w:t>them” it is believed that they are “cursed or bewitched.”</w:t>
      </w:r>
      <w:r w:rsidR="00D066D7">
        <w:rPr>
          <w:rStyle w:val="EndnoteReference"/>
          <w:sz w:val="22"/>
          <w:szCs w:val="22"/>
        </w:rPr>
        <w:endnoteReference w:id="51"/>
      </w:r>
      <w:r w:rsidR="00BC1F85">
        <w:rPr>
          <w:sz w:val="22"/>
          <w:szCs w:val="22"/>
        </w:rPr>
        <w:t xml:space="preserve"> </w:t>
      </w:r>
      <w:r w:rsidR="00D066D7">
        <w:rPr>
          <w:sz w:val="22"/>
          <w:szCs w:val="22"/>
        </w:rPr>
        <w:t>Therefore, “many children are killed at birth.”</w:t>
      </w:r>
      <w:r w:rsidR="00B80DD7">
        <w:rPr>
          <w:rStyle w:val="EndnoteReference"/>
          <w:sz w:val="22"/>
          <w:szCs w:val="22"/>
        </w:rPr>
        <w:endnoteReference w:id="52"/>
      </w:r>
      <w:r w:rsidR="00D066D7">
        <w:rPr>
          <w:sz w:val="22"/>
          <w:szCs w:val="22"/>
        </w:rPr>
        <w:t xml:space="preserve"> It also found that mothers are more pressured to kill their children</w:t>
      </w:r>
      <w:r w:rsidR="00BC1F85">
        <w:rPr>
          <w:sz w:val="22"/>
          <w:szCs w:val="22"/>
        </w:rPr>
        <w:t xml:space="preserve"> with disabilities</w:t>
      </w:r>
      <w:r w:rsidR="00D066D7">
        <w:rPr>
          <w:sz w:val="22"/>
          <w:szCs w:val="22"/>
        </w:rPr>
        <w:t>, and that this prevalence is higher in rural areas</w:t>
      </w:r>
      <w:r w:rsidR="00C65806">
        <w:rPr>
          <w:sz w:val="22"/>
          <w:szCs w:val="22"/>
        </w:rPr>
        <w:t>.</w:t>
      </w:r>
      <w:r w:rsidR="00C65806">
        <w:rPr>
          <w:rStyle w:val="EndnoteReference"/>
          <w:sz w:val="22"/>
          <w:szCs w:val="22"/>
        </w:rPr>
        <w:endnoteReference w:id="53"/>
      </w:r>
      <w:r w:rsidR="00C65806">
        <w:rPr>
          <w:sz w:val="22"/>
          <w:szCs w:val="22"/>
        </w:rPr>
        <w:t xml:space="preserve"> T</w:t>
      </w:r>
      <w:r w:rsidR="00BC1F85">
        <w:rPr>
          <w:sz w:val="22"/>
          <w:szCs w:val="22"/>
        </w:rPr>
        <w:t>he report did not measure whether infanticide occurred at higher rates for girls with disabilities in Kenya.</w:t>
      </w:r>
      <w:r w:rsidR="00D066D7">
        <w:rPr>
          <w:sz w:val="22"/>
          <w:szCs w:val="22"/>
        </w:rPr>
        <w:t xml:space="preserve"> </w:t>
      </w:r>
      <w:r w:rsidR="00BC1F85">
        <w:rPr>
          <w:sz w:val="22"/>
          <w:szCs w:val="22"/>
        </w:rPr>
        <w:t>Furthermore, a</w:t>
      </w:r>
      <w:r w:rsidR="00977B65">
        <w:rPr>
          <w:sz w:val="22"/>
          <w:szCs w:val="22"/>
        </w:rPr>
        <w:t xml:space="preserve">ccording to </w:t>
      </w:r>
      <w:r w:rsidR="001208F6" w:rsidRPr="001208F6">
        <w:rPr>
          <w:i/>
          <w:sz w:val="22"/>
          <w:szCs w:val="22"/>
        </w:rPr>
        <w:t>Fundación Paso a Paso</w:t>
      </w:r>
      <w:r w:rsidR="001208F6">
        <w:rPr>
          <w:sz w:val="22"/>
          <w:szCs w:val="22"/>
        </w:rPr>
        <w:t xml:space="preserve"> </w:t>
      </w:r>
      <w:r w:rsidR="00977B65">
        <w:rPr>
          <w:sz w:val="22"/>
          <w:szCs w:val="22"/>
        </w:rPr>
        <w:t>(México), infanticide of children with disabilities in indigenous communities</w:t>
      </w:r>
      <w:r w:rsidR="00BC1F85">
        <w:rPr>
          <w:sz w:val="22"/>
          <w:szCs w:val="22"/>
        </w:rPr>
        <w:t xml:space="preserve"> in Mexico</w:t>
      </w:r>
      <w:r w:rsidR="00977B65">
        <w:rPr>
          <w:sz w:val="22"/>
          <w:szCs w:val="22"/>
        </w:rPr>
        <w:t xml:space="preserve">, especially those that are born with the assistance of a traditional midwife, is underreported given the lack of pregnancies and birth </w:t>
      </w:r>
      <w:r w:rsidR="00533942">
        <w:rPr>
          <w:sz w:val="22"/>
          <w:szCs w:val="22"/>
        </w:rPr>
        <w:t>registrations</w:t>
      </w:r>
      <w:r w:rsidR="00977B65">
        <w:rPr>
          <w:i/>
          <w:sz w:val="22"/>
          <w:szCs w:val="22"/>
        </w:rPr>
        <w:t>.</w:t>
      </w:r>
      <w:r w:rsidR="001208F6" w:rsidRPr="00533942">
        <w:rPr>
          <w:rStyle w:val="EndnoteReference"/>
          <w:sz w:val="22"/>
          <w:szCs w:val="22"/>
        </w:rPr>
        <w:endnoteReference w:id="54"/>
      </w:r>
      <w:r w:rsidR="00BC1F85" w:rsidRPr="00533942">
        <w:rPr>
          <w:sz w:val="22"/>
          <w:szCs w:val="22"/>
        </w:rPr>
        <w:t xml:space="preserve"> </w:t>
      </w:r>
      <w:r w:rsidR="00BC1F85">
        <w:rPr>
          <w:sz w:val="22"/>
          <w:szCs w:val="22"/>
        </w:rPr>
        <w:t>G</w:t>
      </w:r>
      <w:r w:rsidR="00B4276E">
        <w:rPr>
          <w:sz w:val="22"/>
          <w:szCs w:val="22"/>
        </w:rPr>
        <w:t>irls with disabilities are disproportionately affected</w:t>
      </w:r>
      <w:r w:rsidR="00BC1F85">
        <w:rPr>
          <w:sz w:val="22"/>
          <w:szCs w:val="22"/>
        </w:rPr>
        <w:t xml:space="preserve">, </w:t>
      </w:r>
      <w:r w:rsidR="00B4276E">
        <w:rPr>
          <w:sz w:val="22"/>
          <w:szCs w:val="22"/>
        </w:rPr>
        <w:t>as some indigenous communities</w:t>
      </w:r>
      <w:r w:rsidR="00D519D1">
        <w:rPr>
          <w:sz w:val="22"/>
          <w:szCs w:val="22"/>
        </w:rPr>
        <w:t xml:space="preserve"> sacrifice</w:t>
      </w:r>
      <w:r w:rsidR="00977B65">
        <w:rPr>
          <w:sz w:val="22"/>
          <w:szCs w:val="22"/>
        </w:rPr>
        <w:t xml:space="preserve"> </w:t>
      </w:r>
      <w:r w:rsidR="00B4276E">
        <w:rPr>
          <w:sz w:val="22"/>
          <w:szCs w:val="22"/>
        </w:rPr>
        <w:t>the</w:t>
      </w:r>
      <w:r w:rsidR="00BC1F85">
        <w:rPr>
          <w:sz w:val="22"/>
          <w:szCs w:val="22"/>
        </w:rPr>
        <w:t>se girls</w:t>
      </w:r>
      <w:r w:rsidR="00977B65">
        <w:rPr>
          <w:sz w:val="22"/>
          <w:szCs w:val="22"/>
        </w:rPr>
        <w:t xml:space="preserve"> to their </w:t>
      </w:r>
      <w:r w:rsidR="00977B65">
        <w:rPr>
          <w:sz w:val="22"/>
          <w:szCs w:val="22"/>
        </w:rPr>
        <w:lastRenderedPageBreak/>
        <w:t>deities</w:t>
      </w:r>
      <w:r w:rsidR="00B4276E">
        <w:rPr>
          <w:sz w:val="22"/>
          <w:szCs w:val="22"/>
        </w:rPr>
        <w:t xml:space="preserve"> or consider the</w:t>
      </w:r>
      <w:r w:rsidR="00BC1F85">
        <w:rPr>
          <w:sz w:val="22"/>
          <w:szCs w:val="22"/>
        </w:rPr>
        <w:t xml:space="preserve">m to be of less value, </w:t>
      </w:r>
      <w:r w:rsidR="00B4276E">
        <w:rPr>
          <w:sz w:val="22"/>
          <w:szCs w:val="22"/>
        </w:rPr>
        <w:t>given the assumption that they will not be able to procreate.</w:t>
      </w:r>
      <w:r w:rsidR="001208F6">
        <w:rPr>
          <w:rStyle w:val="EndnoteReference"/>
          <w:sz w:val="22"/>
          <w:szCs w:val="22"/>
        </w:rPr>
        <w:endnoteReference w:id="55"/>
      </w:r>
      <w:r w:rsidR="00977B65">
        <w:rPr>
          <w:sz w:val="22"/>
          <w:szCs w:val="22"/>
        </w:rPr>
        <w:t xml:space="preserve"> </w:t>
      </w:r>
      <w:r w:rsidR="003C268D" w:rsidRPr="00977B65">
        <w:rPr>
          <w:sz w:val="22"/>
          <w:szCs w:val="22"/>
        </w:rPr>
        <w:t>For</w:t>
      </w:r>
      <w:r w:rsidR="003C268D" w:rsidRPr="00124536">
        <w:rPr>
          <w:sz w:val="22"/>
          <w:szCs w:val="22"/>
        </w:rPr>
        <w:t xml:space="preserve"> these reasons, the decision of a parent or caretaker to take the life of a child with a disability</w:t>
      </w:r>
      <w:r>
        <w:rPr>
          <w:sz w:val="22"/>
          <w:szCs w:val="22"/>
        </w:rPr>
        <w:t xml:space="preserve"> in these communities</w:t>
      </w:r>
      <w:r w:rsidR="003C268D" w:rsidRPr="00124536">
        <w:rPr>
          <w:sz w:val="22"/>
          <w:szCs w:val="22"/>
        </w:rPr>
        <w:t xml:space="preserve"> may be actively supported by medical, religious, or social counsel or other family members, and those responsible for the killings often will not face prosecution for homicide or will receive a reduced sentence.</w:t>
      </w:r>
      <w:r w:rsidR="003C268D" w:rsidRPr="00124536">
        <w:rPr>
          <w:rStyle w:val="EndnoteReference"/>
          <w:sz w:val="22"/>
          <w:szCs w:val="22"/>
        </w:rPr>
        <w:endnoteReference w:id="56"/>
      </w:r>
      <w:r w:rsidR="003C268D" w:rsidRPr="00124536">
        <w:rPr>
          <w:sz w:val="22"/>
          <w:szCs w:val="22"/>
        </w:rPr>
        <w:t xml:space="preserve"> </w:t>
      </w:r>
    </w:p>
    <w:p w14:paraId="4564E78A" w14:textId="77777777" w:rsidR="00C65806" w:rsidRDefault="00C65806" w:rsidP="003C268D">
      <w:pPr>
        <w:jc w:val="both"/>
        <w:rPr>
          <w:sz w:val="22"/>
          <w:szCs w:val="22"/>
        </w:rPr>
      </w:pPr>
    </w:p>
    <w:p w14:paraId="0EB99A71" w14:textId="557EDCDA" w:rsidR="003C268D" w:rsidRPr="00124536" w:rsidRDefault="00C65806" w:rsidP="003C268D">
      <w:pPr>
        <w:jc w:val="both"/>
        <w:rPr>
          <w:sz w:val="22"/>
          <w:szCs w:val="22"/>
        </w:rPr>
      </w:pPr>
      <w:r w:rsidRPr="00124536">
        <w:rPr>
          <w:sz w:val="22"/>
          <w:szCs w:val="22"/>
        </w:rPr>
        <w:t>Infanticide, including of children with disabilities, has been recognized as a severe human rights violation, including a violation of the right to life and survival.</w:t>
      </w:r>
      <w:r w:rsidRPr="00124536">
        <w:rPr>
          <w:rStyle w:val="EndnoteReference"/>
          <w:sz w:val="22"/>
          <w:szCs w:val="22"/>
        </w:rPr>
        <w:endnoteReference w:id="57"/>
      </w:r>
      <w:r w:rsidRPr="00124536">
        <w:rPr>
          <w:sz w:val="22"/>
          <w:szCs w:val="22"/>
        </w:rPr>
        <w:t xml:space="preserve"> The CRC Committee has identified infanticide as a harmful practice and as an important issue affecting children with disabilities</w:t>
      </w:r>
      <w:r w:rsidRPr="00124536">
        <w:rPr>
          <w:rStyle w:val="EndnoteReference"/>
          <w:sz w:val="22"/>
          <w:szCs w:val="22"/>
        </w:rPr>
        <w:endnoteReference w:id="58"/>
      </w:r>
      <w:r w:rsidRPr="00124536">
        <w:rPr>
          <w:sz w:val="22"/>
          <w:szCs w:val="22"/>
        </w:rPr>
        <w:t xml:space="preserve"> and girls</w:t>
      </w:r>
      <w:r w:rsidRPr="00124536">
        <w:rPr>
          <w:rStyle w:val="EndnoteReference"/>
          <w:sz w:val="22"/>
          <w:szCs w:val="22"/>
        </w:rPr>
        <w:endnoteReference w:id="59"/>
      </w:r>
      <w:r w:rsidRPr="00124536">
        <w:rPr>
          <w:sz w:val="22"/>
          <w:szCs w:val="22"/>
        </w:rPr>
        <w:t xml:space="preserve"> in several </w:t>
      </w:r>
      <w:r>
        <w:rPr>
          <w:sz w:val="22"/>
          <w:szCs w:val="22"/>
        </w:rPr>
        <w:t>S</w:t>
      </w:r>
      <w:r w:rsidRPr="00124536">
        <w:rPr>
          <w:sz w:val="22"/>
          <w:szCs w:val="22"/>
        </w:rPr>
        <w:t xml:space="preserve">tates. The CRC Committee has further recommended that </w:t>
      </w:r>
      <w:r w:rsidR="0068620C">
        <w:rPr>
          <w:sz w:val="22"/>
          <w:szCs w:val="22"/>
        </w:rPr>
        <w:t>S</w:t>
      </w:r>
      <w:r w:rsidRPr="00124536">
        <w:rPr>
          <w:sz w:val="22"/>
          <w:szCs w:val="22"/>
        </w:rPr>
        <w:t>tates raise awareness and address cultural norms, stigma, and practices that lead to infanticide, including of children with disabilities,</w:t>
      </w:r>
      <w:r w:rsidRPr="00124536">
        <w:rPr>
          <w:rStyle w:val="EndnoteReference"/>
          <w:sz w:val="22"/>
          <w:szCs w:val="22"/>
        </w:rPr>
        <w:endnoteReference w:id="60"/>
      </w:r>
      <w:r w:rsidRPr="00124536">
        <w:rPr>
          <w:sz w:val="22"/>
          <w:szCs w:val="22"/>
        </w:rPr>
        <w:t xml:space="preserve"> as well as eliminate restrictive population policies, enforce laws preventing infanticide, and ensure the registration of all births in order to prevent infanticide.</w:t>
      </w:r>
      <w:r w:rsidRPr="00124536">
        <w:rPr>
          <w:rStyle w:val="EndnoteReference"/>
          <w:sz w:val="22"/>
          <w:szCs w:val="22"/>
        </w:rPr>
        <w:endnoteReference w:id="61"/>
      </w:r>
      <w:r w:rsidRPr="00124536">
        <w:rPr>
          <w:sz w:val="22"/>
          <w:szCs w:val="22"/>
        </w:rPr>
        <w:t xml:space="preserve"> </w:t>
      </w:r>
    </w:p>
    <w:p w14:paraId="01926D2D" w14:textId="77777777" w:rsidR="003C268D" w:rsidRPr="00124536" w:rsidRDefault="003C268D" w:rsidP="003C268D">
      <w:pPr>
        <w:jc w:val="both"/>
        <w:rPr>
          <w:sz w:val="22"/>
          <w:szCs w:val="22"/>
        </w:rPr>
      </w:pPr>
    </w:p>
    <w:p w14:paraId="70D21018" w14:textId="65807E6E" w:rsidR="003C268D" w:rsidRPr="008D1161" w:rsidRDefault="003C268D" w:rsidP="008D1161">
      <w:pPr>
        <w:pStyle w:val="ListParagraph"/>
        <w:numPr>
          <w:ilvl w:val="0"/>
          <w:numId w:val="7"/>
        </w:numPr>
        <w:jc w:val="both"/>
        <w:rPr>
          <w:b/>
          <w:sz w:val="22"/>
          <w:szCs w:val="22"/>
          <w:lang w:val="en-GB"/>
        </w:rPr>
      </w:pPr>
      <w:r w:rsidRPr="008D1161">
        <w:rPr>
          <w:b/>
          <w:sz w:val="22"/>
          <w:szCs w:val="22"/>
          <w:lang w:val="en-GB"/>
        </w:rPr>
        <w:t>Recommendations</w:t>
      </w:r>
    </w:p>
    <w:p w14:paraId="308C72A6" w14:textId="5E6A6720" w:rsidR="00DE2C27" w:rsidRDefault="00DE2C27" w:rsidP="00DE2C27"/>
    <w:p w14:paraId="71AB6BA2" w14:textId="0E2790B7" w:rsidR="00307219" w:rsidRPr="00124536" w:rsidRDefault="00307219" w:rsidP="00307219">
      <w:pPr>
        <w:jc w:val="both"/>
        <w:rPr>
          <w:sz w:val="22"/>
          <w:szCs w:val="22"/>
        </w:rPr>
      </w:pPr>
      <w:r w:rsidRPr="00124536">
        <w:rPr>
          <w:sz w:val="22"/>
          <w:szCs w:val="22"/>
        </w:rPr>
        <w:t xml:space="preserve">As </w:t>
      </w:r>
      <w:r>
        <w:rPr>
          <w:sz w:val="22"/>
          <w:szCs w:val="22"/>
        </w:rPr>
        <w:t xml:space="preserve">part of her efforts to support States in their strategies for the prevention of femicides/feminicides especially by the gathering of relevant data and information, we urge </w:t>
      </w:r>
      <w:r w:rsidRPr="00124536">
        <w:rPr>
          <w:sz w:val="22"/>
          <w:szCs w:val="22"/>
        </w:rPr>
        <w:t>the Special Rapporteur to:</w:t>
      </w:r>
    </w:p>
    <w:p w14:paraId="584D278D" w14:textId="77777777" w:rsidR="00307219" w:rsidRPr="00124536" w:rsidRDefault="00307219" w:rsidP="00307219">
      <w:pPr>
        <w:jc w:val="both"/>
        <w:rPr>
          <w:sz w:val="22"/>
          <w:szCs w:val="22"/>
        </w:rPr>
      </w:pPr>
    </w:p>
    <w:p w14:paraId="3CDC7841" w14:textId="509A3211" w:rsidR="008929D1" w:rsidRPr="008929D1" w:rsidRDefault="00307219" w:rsidP="008929D1">
      <w:pPr>
        <w:pStyle w:val="ListParagraph"/>
        <w:numPr>
          <w:ilvl w:val="0"/>
          <w:numId w:val="9"/>
        </w:numPr>
        <w:jc w:val="both"/>
        <w:rPr>
          <w:rFonts w:ascii="Times" w:hAnsi="Times"/>
          <w:sz w:val="22"/>
          <w:szCs w:val="22"/>
        </w:rPr>
      </w:pPr>
      <w:r w:rsidRPr="00124536">
        <w:rPr>
          <w:sz w:val="22"/>
          <w:szCs w:val="22"/>
        </w:rPr>
        <w:t>Recommend that States collect</w:t>
      </w:r>
      <w:r w:rsidR="00C65806">
        <w:rPr>
          <w:sz w:val="22"/>
          <w:szCs w:val="22"/>
        </w:rPr>
        <w:t xml:space="preserve"> data on femicide that is disaggregated by disability, age, indigenous status, and other relevant factors, to ensure that the situation of women and girls with disabilities is adequately addressed</w:t>
      </w:r>
      <w:r w:rsidR="00B4276E">
        <w:rPr>
          <w:rFonts w:ascii="Times" w:hAnsi="Times"/>
          <w:sz w:val="22"/>
          <w:szCs w:val="22"/>
        </w:rPr>
        <w:t>.</w:t>
      </w:r>
      <w:r w:rsidRPr="008929D1">
        <w:rPr>
          <w:rStyle w:val="EndnoteReference"/>
          <w:rFonts w:ascii="Times" w:hAnsi="Times"/>
          <w:sz w:val="22"/>
          <w:szCs w:val="22"/>
        </w:rPr>
        <w:endnoteReference w:id="62"/>
      </w:r>
    </w:p>
    <w:p w14:paraId="13933C86" w14:textId="65E219B9" w:rsidR="008929D1" w:rsidRPr="008929D1" w:rsidRDefault="008929D1" w:rsidP="008929D1">
      <w:pPr>
        <w:pStyle w:val="ListParagraph"/>
        <w:numPr>
          <w:ilvl w:val="0"/>
          <w:numId w:val="9"/>
        </w:numPr>
        <w:jc w:val="both"/>
        <w:rPr>
          <w:rFonts w:ascii="Times" w:hAnsi="Times"/>
          <w:sz w:val="22"/>
          <w:szCs w:val="22"/>
        </w:rPr>
      </w:pPr>
      <w:r w:rsidRPr="008929D1">
        <w:rPr>
          <w:rFonts w:ascii="Times" w:hAnsi="Times"/>
          <w:color w:val="000000"/>
          <w:sz w:val="22"/>
          <w:szCs w:val="22"/>
          <w:shd w:val="clear" w:color="auto" w:fill="FFFFFF"/>
        </w:rPr>
        <w:t>Recommend</w:t>
      </w:r>
      <w:r w:rsidR="00C65806">
        <w:rPr>
          <w:rFonts w:ascii="Times" w:hAnsi="Times"/>
          <w:color w:val="000000"/>
          <w:sz w:val="22"/>
          <w:szCs w:val="22"/>
          <w:shd w:val="clear" w:color="auto" w:fill="FFFFFF"/>
        </w:rPr>
        <w:t xml:space="preserve"> that</w:t>
      </w:r>
      <w:r w:rsidRPr="008929D1">
        <w:rPr>
          <w:rFonts w:ascii="Times" w:hAnsi="Times"/>
          <w:color w:val="000000"/>
          <w:sz w:val="22"/>
          <w:szCs w:val="22"/>
          <w:shd w:val="clear" w:color="auto" w:fill="FFFFFF"/>
        </w:rPr>
        <w:t xml:space="preserve"> stakeholders, including States and international </w:t>
      </w:r>
      <w:r w:rsidR="00C65806">
        <w:rPr>
          <w:rFonts w:ascii="Times" w:hAnsi="Times"/>
          <w:color w:val="000000"/>
          <w:sz w:val="22"/>
          <w:szCs w:val="22"/>
          <w:shd w:val="clear" w:color="auto" w:fill="FFFFFF"/>
        </w:rPr>
        <w:t>donors</w:t>
      </w:r>
      <w:r w:rsidRPr="008929D1">
        <w:rPr>
          <w:rFonts w:ascii="Times" w:hAnsi="Times"/>
          <w:color w:val="000000"/>
          <w:sz w:val="22"/>
          <w:szCs w:val="22"/>
          <w:shd w:val="clear" w:color="auto" w:fill="FFFFFF"/>
        </w:rPr>
        <w:t xml:space="preserve">, support research (qualitative and quantitative) </w:t>
      </w:r>
      <w:r>
        <w:rPr>
          <w:rFonts w:ascii="Times" w:hAnsi="Times"/>
          <w:color w:val="000000"/>
          <w:sz w:val="22"/>
          <w:szCs w:val="22"/>
          <w:shd w:val="clear" w:color="auto" w:fill="FFFFFF"/>
        </w:rPr>
        <w:t xml:space="preserve">about the impact of femicide on women </w:t>
      </w:r>
      <w:r w:rsidR="00533942">
        <w:rPr>
          <w:rFonts w:ascii="Times" w:hAnsi="Times"/>
          <w:color w:val="000000"/>
          <w:sz w:val="22"/>
          <w:szCs w:val="22"/>
          <w:shd w:val="clear" w:color="auto" w:fill="FFFFFF"/>
        </w:rPr>
        <w:t>who</w:t>
      </w:r>
      <w:r>
        <w:rPr>
          <w:rFonts w:ascii="Times" w:hAnsi="Times"/>
          <w:color w:val="000000"/>
          <w:sz w:val="22"/>
          <w:szCs w:val="22"/>
          <w:shd w:val="clear" w:color="auto" w:fill="FFFFFF"/>
        </w:rPr>
        <w:t xml:space="preserve"> face intersectional discrimination, including women </w:t>
      </w:r>
      <w:r w:rsidR="00C65806">
        <w:rPr>
          <w:rFonts w:ascii="Times" w:hAnsi="Times"/>
          <w:color w:val="000000"/>
          <w:sz w:val="22"/>
          <w:szCs w:val="22"/>
          <w:shd w:val="clear" w:color="auto" w:fill="FFFFFF"/>
        </w:rPr>
        <w:t xml:space="preserve">and girls </w:t>
      </w:r>
      <w:r>
        <w:rPr>
          <w:rFonts w:ascii="Times" w:hAnsi="Times"/>
          <w:color w:val="000000"/>
          <w:sz w:val="22"/>
          <w:szCs w:val="22"/>
          <w:shd w:val="clear" w:color="auto" w:fill="FFFFFF"/>
        </w:rPr>
        <w:t>with disabilities, and organize</w:t>
      </w:r>
      <w:r w:rsidRPr="008929D1">
        <w:rPr>
          <w:rFonts w:ascii="Times" w:hAnsi="Times"/>
          <w:color w:val="000000"/>
          <w:sz w:val="22"/>
          <w:szCs w:val="22"/>
          <w:shd w:val="clear" w:color="auto" w:fill="FFFFFF"/>
        </w:rPr>
        <w:t xml:space="preserve"> trainings for disabled women activists on this issue.</w:t>
      </w:r>
    </w:p>
    <w:p w14:paraId="22F33640" w14:textId="27930B56" w:rsidR="00307219" w:rsidRPr="00124536" w:rsidRDefault="00307219" w:rsidP="00307219">
      <w:pPr>
        <w:pStyle w:val="ListParagraph"/>
        <w:numPr>
          <w:ilvl w:val="0"/>
          <w:numId w:val="9"/>
        </w:numPr>
        <w:jc w:val="both"/>
        <w:rPr>
          <w:sz w:val="22"/>
          <w:szCs w:val="22"/>
        </w:rPr>
      </w:pPr>
      <w:r>
        <w:rPr>
          <w:sz w:val="22"/>
          <w:szCs w:val="22"/>
        </w:rPr>
        <w:t>Develop</w:t>
      </w:r>
      <w:r w:rsidRPr="00124536">
        <w:rPr>
          <w:sz w:val="22"/>
          <w:szCs w:val="22"/>
        </w:rPr>
        <w:t xml:space="preserve"> a gender-sensitive approach</w:t>
      </w:r>
      <w:r>
        <w:rPr>
          <w:sz w:val="22"/>
          <w:szCs w:val="22"/>
        </w:rPr>
        <w:t xml:space="preserve"> to</w:t>
      </w:r>
      <w:r w:rsidRPr="00124536">
        <w:rPr>
          <w:sz w:val="22"/>
          <w:szCs w:val="22"/>
        </w:rPr>
        <w:t xml:space="preserve"> consider how certain characteristics or identities, including disability, intersect with gender to place women and girls at particular risk for femicide.</w:t>
      </w:r>
    </w:p>
    <w:p w14:paraId="6774E98C" w14:textId="01495992" w:rsidR="00307219" w:rsidRPr="00124536" w:rsidRDefault="00307219" w:rsidP="00307219">
      <w:pPr>
        <w:pStyle w:val="ListParagraph"/>
        <w:numPr>
          <w:ilvl w:val="0"/>
          <w:numId w:val="9"/>
        </w:numPr>
        <w:jc w:val="both"/>
        <w:rPr>
          <w:sz w:val="22"/>
          <w:szCs w:val="22"/>
        </w:rPr>
      </w:pPr>
      <w:r w:rsidRPr="00124536">
        <w:rPr>
          <w:sz w:val="22"/>
          <w:szCs w:val="22"/>
        </w:rPr>
        <w:t xml:space="preserve">Identify </w:t>
      </w:r>
      <w:r w:rsidR="007800E7">
        <w:rPr>
          <w:sz w:val="22"/>
          <w:szCs w:val="22"/>
        </w:rPr>
        <w:t>S</w:t>
      </w:r>
      <w:r w:rsidRPr="00124536">
        <w:rPr>
          <w:sz w:val="22"/>
          <w:szCs w:val="22"/>
        </w:rPr>
        <w:t xml:space="preserve">tates’ obligations to take measures to address underlying factors that contribute to a heightened risk of </w:t>
      </w:r>
      <w:r>
        <w:rPr>
          <w:sz w:val="22"/>
          <w:szCs w:val="22"/>
        </w:rPr>
        <w:t xml:space="preserve">femicide, </w:t>
      </w:r>
      <w:r w:rsidRPr="00124536">
        <w:rPr>
          <w:sz w:val="22"/>
          <w:szCs w:val="22"/>
        </w:rPr>
        <w:t>including obligations to:</w:t>
      </w:r>
    </w:p>
    <w:p w14:paraId="0B3097D3" w14:textId="05CB7352" w:rsidR="00307219" w:rsidRPr="00124536" w:rsidRDefault="00307219" w:rsidP="00307219">
      <w:pPr>
        <w:pStyle w:val="ListParagraph"/>
        <w:numPr>
          <w:ilvl w:val="1"/>
          <w:numId w:val="9"/>
        </w:numPr>
        <w:jc w:val="both"/>
        <w:rPr>
          <w:sz w:val="22"/>
          <w:szCs w:val="22"/>
        </w:rPr>
      </w:pPr>
      <w:r w:rsidRPr="00124536">
        <w:rPr>
          <w:sz w:val="22"/>
          <w:szCs w:val="22"/>
        </w:rPr>
        <w:t>Dismantle the stigma associated with disability, including that disability is a</w:t>
      </w:r>
      <w:r w:rsidR="00C65806">
        <w:rPr>
          <w:sz w:val="22"/>
          <w:szCs w:val="22"/>
        </w:rPr>
        <w:t xml:space="preserve"> bad omen or</w:t>
      </w:r>
      <w:r w:rsidRPr="00124536">
        <w:rPr>
          <w:sz w:val="22"/>
          <w:szCs w:val="22"/>
        </w:rPr>
        <w:t xml:space="preserve"> sign of witchcraft, </w:t>
      </w:r>
      <w:r w:rsidR="007800E7">
        <w:rPr>
          <w:sz w:val="22"/>
          <w:szCs w:val="22"/>
        </w:rPr>
        <w:t>and raise awareness about the ri</w:t>
      </w:r>
      <w:r w:rsidR="004D6099">
        <w:rPr>
          <w:sz w:val="22"/>
          <w:szCs w:val="22"/>
        </w:rPr>
        <w:t>ghts of wo</w:t>
      </w:r>
      <w:r w:rsidR="007800E7">
        <w:rPr>
          <w:sz w:val="22"/>
          <w:szCs w:val="22"/>
        </w:rPr>
        <w:t>men and girls with disabilities</w:t>
      </w:r>
      <w:r w:rsidRPr="00124536">
        <w:rPr>
          <w:sz w:val="22"/>
          <w:szCs w:val="22"/>
        </w:rPr>
        <w:t>;</w:t>
      </w:r>
      <w:r w:rsidRPr="00124536">
        <w:rPr>
          <w:rStyle w:val="EndnoteReference"/>
          <w:sz w:val="22"/>
          <w:szCs w:val="22"/>
        </w:rPr>
        <w:endnoteReference w:id="63"/>
      </w:r>
      <w:r w:rsidRPr="00124536">
        <w:rPr>
          <w:sz w:val="22"/>
          <w:szCs w:val="22"/>
        </w:rPr>
        <w:t xml:space="preserve"> </w:t>
      </w:r>
    </w:p>
    <w:p w14:paraId="5EDC8976" w14:textId="70DFE0AB" w:rsidR="00307219" w:rsidRPr="00124536" w:rsidRDefault="004D6099" w:rsidP="00307219">
      <w:pPr>
        <w:pStyle w:val="ListParagraph"/>
        <w:numPr>
          <w:ilvl w:val="1"/>
          <w:numId w:val="9"/>
        </w:numPr>
        <w:jc w:val="both"/>
        <w:rPr>
          <w:sz w:val="22"/>
          <w:szCs w:val="22"/>
        </w:rPr>
      </w:pPr>
      <w:r>
        <w:rPr>
          <w:sz w:val="22"/>
          <w:szCs w:val="22"/>
        </w:rPr>
        <w:t>Ensure the full range of rights for persons with disabilities and p</w:t>
      </w:r>
      <w:r w:rsidR="00307219" w:rsidRPr="00124536">
        <w:rPr>
          <w:sz w:val="22"/>
          <w:szCs w:val="22"/>
        </w:rPr>
        <w:t>rovide adequate social support services</w:t>
      </w:r>
      <w:r>
        <w:rPr>
          <w:sz w:val="22"/>
          <w:szCs w:val="22"/>
        </w:rPr>
        <w:t>, education, and employment opportunities</w:t>
      </w:r>
      <w:r w:rsidR="00307219" w:rsidRPr="00124536">
        <w:rPr>
          <w:sz w:val="22"/>
          <w:szCs w:val="22"/>
        </w:rPr>
        <w:t xml:space="preserve"> to individuals with disabilities and their families;</w:t>
      </w:r>
      <w:r w:rsidR="00307219" w:rsidRPr="00124536">
        <w:rPr>
          <w:rStyle w:val="EndnoteReference"/>
          <w:sz w:val="22"/>
          <w:szCs w:val="22"/>
        </w:rPr>
        <w:endnoteReference w:id="64"/>
      </w:r>
      <w:r w:rsidR="00307219" w:rsidRPr="00124536">
        <w:rPr>
          <w:sz w:val="22"/>
          <w:szCs w:val="22"/>
        </w:rPr>
        <w:t xml:space="preserve"> </w:t>
      </w:r>
    </w:p>
    <w:p w14:paraId="4D92659C" w14:textId="7DCE3D85" w:rsidR="00307219" w:rsidRPr="00124536" w:rsidRDefault="00307219" w:rsidP="00307219">
      <w:pPr>
        <w:pStyle w:val="ListParagraph"/>
        <w:numPr>
          <w:ilvl w:val="1"/>
          <w:numId w:val="9"/>
        </w:numPr>
        <w:jc w:val="both"/>
        <w:rPr>
          <w:sz w:val="22"/>
          <w:szCs w:val="22"/>
        </w:rPr>
      </w:pPr>
      <w:r w:rsidRPr="00124536">
        <w:rPr>
          <w:sz w:val="22"/>
          <w:szCs w:val="22"/>
        </w:rPr>
        <w:t>Ensure that women and girls with disabilities who are victims of gender-based violence have access to protective and rehabilitative services, including emergency shelters and other social services,</w:t>
      </w:r>
      <w:r w:rsidR="00533942">
        <w:rPr>
          <w:sz w:val="22"/>
          <w:szCs w:val="22"/>
        </w:rPr>
        <w:t xml:space="preserve"> as well as sexual and reproductive health services</w:t>
      </w:r>
      <w:r w:rsidRPr="00124536">
        <w:rPr>
          <w:sz w:val="22"/>
          <w:szCs w:val="22"/>
        </w:rPr>
        <w:t xml:space="preserve"> to allow them to leave abusive situations;</w:t>
      </w:r>
      <w:r w:rsidRPr="00124536">
        <w:rPr>
          <w:rStyle w:val="EndnoteReference"/>
          <w:sz w:val="22"/>
          <w:szCs w:val="22"/>
        </w:rPr>
        <w:endnoteReference w:id="65"/>
      </w:r>
      <w:r w:rsidRPr="00124536">
        <w:rPr>
          <w:sz w:val="22"/>
          <w:szCs w:val="22"/>
        </w:rPr>
        <w:t xml:space="preserve"> and</w:t>
      </w:r>
    </w:p>
    <w:p w14:paraId="0450E12D" w14:textId="31868CF8" w:rsidR="00307219" w:rsidRPr="00124536" w:rsidRDefault="00307219" w:rsidP="00307219">
      <w:pPr>
        <w:pStyle w:val="ListParagraph"/>
        <w:numPr>
          <w:ilvl w:val="1"/>
          <w:numId w:val="9"/>
        </w:numPr>
        <w:jc w:val="both"/>
        <w:rPr>
          <w:sz w:val="22"/>
          <w:szCs w:val="22"/>
        </w:rPr>
      </w:pPr>
      <w:r w:rsidRPr="00124536">
        <w:rPr>
          <w:sz w:val="22"/>
          <w:szCs w:val="22"/>
        </w:rPr>
        <w:t>Train police, judicial and other law enforcement authorities to respond to instances of violence committed against women with disabilities and to give credence to their testimony to ensure access to justice.</w:t>
      </w:r>
      <w:r w:rsidRPr="00124536">
        <w:rPr>
          <w:rStyle w:val="EndnoteReference"/>
          <w:sz w:val="22"/>
          <w:szCs w:val="22"/>
        </w:rPr>
        <w:endnoteReference w:id="66"/>
      </w:r>
      <w:r w:rsidRPr="00124536">
        <w:rPr>
          <w:sz w:val="22"/>
          <w:szCs w:val="22"/>
        </w:rPr>
        <w:t xml:space="preserve"> </w:t>
      </w:r>
    </w:p>
    <w:p w14:paraId="31947BF7" w14:textId="12DE0586" w:rsidR="00DC18B1" w:rsidRDefault="00DC18B1" w:rsidP="00DC18B1">
      <w:pPr>
        <w:jc w:val="both"/>
        <w:rPr>
          <w:sz w:val="22"/>
          <w:szCs w:val="22"/>
        </w:rPr>
      </w:pPr>
    </w:p>
    <w:p w14:paraId="1408702B" w14:textId="499FDCDC" w:rsidR="00307219" w:rsidRPr="00124536" w:rsidRDefault="00307219" w:rsidP="00307219">
      <w:pPr>
        <w:jc w:val="both"/>
        <w:rPr>
          <w:sz w:val="22"/>
          <w:szCs w:val="22"/>
        </w:rPr>
      </w:pPr>
      <w:r w:rsidRPr="00124536">
        <w:rPr>
          <w:sz w:val="22"/>
          <w:szCs w:val="22"/>
        </w:rPr>
        <w:t xml:space="preserve">Thank you again for the opportunity to provide </w:t>
      </w:r>
      <w:r>
        <w:rPr>
          <w:sz w:val="22"/>
          <w:szCs w:val="22"/>
        </w:rPr>
        <w:t>this contribution</w:t>
      </w:r>
      <w:r w:rsidRPr="00124536">
        <w:rPr>
          <w:sz w:val="22"/>
          <w:szCs w:val="22"/>
        </w:rPr>
        <w:t xml:space="preserve"> to the Special Rapporteur </w:t>
      </w:r>
      <w:r>
        <w:rPr>
          <w:sz w:val="22"/>
          <w:szCs w:val="22"/>
        </w:rPr>
        <w:t xml:space="preserve">in response to her call </w:t>
      </w:r>
      <w:r w:rsidR="00533942">
        <w:rPr>
          <w:sz w:val="22"/>
          <w:szCs w:val="22"/>
        </w:rPr>
        <w:t>for</w:t>
      </w:r>
      <w:r>
        <w:rPr>
          <w:sz w:val="22"/>
          <w:szCs w:val="22"/>
        </w:rPr>
        <w:t xml:space="preserve"> data and information o</w:t>
      </w:r>
      <w:r w:rsidR="00533942">
        <w:rPr>
          <w:sz w:val="22"/>
          <w:szCs w:val="22"/>
        </w:rPr>
        <w:t>n</w:t>
      </w:r>
      <w:r>
        <w:rPr>
          <w:sz w:val="22"/>
          <w:szCs w:val="22"/>
        </w:rPr>
        <w:t xml:space="preserve"> femicid</w:t>
      </w:r>
      <w:bookmarkStart w:id="0" w:name="_GoBack"/>
      <w:bookmarkEnd w:id="0"/>
      <w:r>
        <w:rPr>
          <w:sz w:val="22"/>
          <w:szCs w:val="22"/>
        </w:rPr>
        <w:t>es</w:t>
      </w:r>
      <w:r w:rsidRPr="00124536">
        <w:rPr>
          <w:sz w:val="22"/>
          <w:szCs w:val="22"/>
        </w:rPr>
        <w:t>. Please do not hesitate to contact us should you have any questions or require additional information on any of the content addressed herein.</w:t>
      </w:r>
    </w:p>
    <w:p w14:paraId="22763CE8" w14:textId="77777777" w:rsidR="003E295C" w:rsidRPr="00E44E10" w:rsidRDefault="003E295C" w:rsidP="003E295C">
      <w:pPr>
        <w:jc w:val="both"/>
        <w:rPr>
          <w:sz w:val="22"/>
          <w:szCs w:val="22"/>
        </w:rPr>
      </w:pPr>
    </w:p>
    <w:sectPr w:rsidR="003E295C" w:rsidRPr="00E44E10" w:rsidSect="003E295C">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6C04F" w14:textId="77777777" w:rsidR="0072355F" w:rsidRDefault="0072355F" w:rsidP="002002F6">
      <w:r>
        <w:separator/>
      </w:r>
    </w:p>
  </w:endnote>
  <w:endnote w:type="continuationSeparator" w:id="0">
    <w:p w14:paraId="26E0DDCA" w14:textId="77777777" w:rsidR="0072355F" w:rsidRDefault="0072355F" w:rsidP="002002F6">
      <w:r>
        <w:continuationSeparator/>
      </w:r>
    </w:p>
  </w:endnote>
  <w:endnote w:id="1">
    <w:p w14:paraId="77565B7B"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This submission addresses the situation of women and girls with disabilities throughout the lifecycle. As such, any reference to “women with disabilities” should be interpreted to include girls with disabilities unless otherwise indicated.</w:t>
      </w:r>
    </w:p>
  </w:endnote>
  <w:endnote w:id="2">
    <w:p w14:paraId="47007AE3"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smallCaps/>
          <w:sz w:val="18"/>
          <w:szCs w:val="18"/>
        </w:rPr>
        <w:t>World</w:t>
      </w:r>
      <w:r w:rsidRPr="00CB5B5F">
        <w:rPr>
          <w:sz w:val="18"/>
          <w:szCs w:val="18"/>
        </w:rPr>
        <w:t xml:space="preserve"> </w:t>
      </w:r>
      <w:r w:rsidRPr="00CB5B5F">
        <w:rPr>
          <w:smallCaps/>
          <w:sz w:val="18"/>
          <w:szCs w:val="18"/>
        </w:rPr>
        <w:t>Health Organization (WHO) and World Bank</w:t>
      </w:r>
      <w:r w:rsidRPr="00CB5B5F">
        <w:rPr>
          <w:sz w:val="18"/>
          <w:szCs w:val="18"/>
        </w:rPr>
        <w:t xml:space="preserve">, </w:t>
      </w:r>
      <w:r w:rsidRPr="00CB5B5F">
        <w:rPr>
          <w:smallCaps/>
          <w:sz w:val="18"/>
          <w:szCs w:val="18"/>
        </w:rPr>
        <w:t xml:space="preserve">World Report on Disability </w:t>
      </w:r>
      <w:r w:rsidRPr="00CB5B5F">
        <w:rPr>
          <w:sz w:val="18"/>
          <w:szCs w:val="18"/>
        </w:rPr>
        <w:t>28-29 (2011).</w:t>
      </w:r>
    </w:p>
  </w:endnote>
  <w:endnote w:id="3">
    <w:p w14:paraId="78774462"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UN Special Rapporteur on Violence against Women, </w:t>
      </w:r>
      <w:r w:rsidRPr="00CB5B5F">
        <w:rPr>
          <w:i/>
          <w:sz w:val="18"/>
          <w:szCs w:val="18"/>
        </w:rPr>
        <w:t>Report of the Special Rapporteur on violence against women, its causes and consequences</w:t>
      </w:r>
      <w:r w:rsidRPr="00CB5B5F">
        <w:rPr>
          <w:sz w:val="18"/>
          <w:szCs w:val="18"/>
        </w:rPr>
        <w:t>,</w:t>
      </w:r>
      <w:r w:rsidRPr="00CB5B5F">
        <w:rPr>
          <w:i/>
          <w:sz w:val="18"/>
          <w:szCs w:val="18"/>
        </w:rPr>
        <w:t xml:space="preserve"> </w:t>
      </w:r>
      <w:r w:rsidRPr="00CB5B5F">
        <w:rPr>
          <w:b/>
          <w:color w:val="000000"/>
          <w:sz w:val="18"/>
          <w:szCs w:val="18"/>
        </w:rPr>
        <w:t>¶</w:t>
      </w:r>
      <w:r w:rsidRPr="00CB5B5F">
        <w:rPr>
          <w:sz w:val="18"/>
          <w:szCs w:val="18"/>
        </w:rPr>
        <w:t xml:space="preserve"> 31, U.N. Doc. A/67/227 (2012) [hereinafter SRVAW, </w:t>
      </w:r>
      <w:r w:rsidRPr="00CB5B5F">
        <w:rPr>
          <w:i/>
          <w:sz w:val="18"/>
          <w:szCs w:val="18"/>
        </w:rPr>
        <w:t>Report on women with disabilities</w:t>
      </w:r>
      <w:r w:rsidRPr="00CB5B5F">
        <w:rPr>
          <w:sz w:val="18"/>
          <w:szCs w:val="18"/>
        </w:rPr>
        <w:t>].</w:t>
      </w:r>
    </w:p>
  </w:endnote>
  <w:endnote w:id="4">
    <w:p w14:paraId="25DC37EB" w14:textId="09112550" w:rsidR="00C31D64" w:rsidRPr="00CB5B5F" w:rsidRDefault="00C31D64" w:rsidP="00DD5F65">
      <w:pPr>
        <w:rPr>
          <w:sz w:val="18"/>
          <w:szCs w:val="18"/>
        </w:rPr>
      </w:pPr>
      <w:r w:rsidRPr="00CB5B5F">
        <w:rPr>
          <w:rStyle w:val="EndnoteReference"/>
          <w:sz w:val="18"/>
          <w:szCs w:val="18"/>
        </w:rPr>
        <w:endnoteRef/>
      </w:r>
      <w:r w:rsidRPr="00CB5B5F">
        <w:rPr>
          <w:sz w:val="18"/>
          <w:szCs w:val="18"/>
        </w:rPr>
        <w:t xml:space="preserve"> UN Special Rapporteur on Violence Against Women</w:t>
      </w:r>
      <w:r w:rsidRPr="00CB5B5F">
        <w:rPr>
          <w:i/>
          <w:sz w:val="18"/>
          <w:szCs w:val="18"/>
        </w:rPr>
        <w:t>, Report of the Special Rapporteur on violence against women, its causes and consequences on the topic of femicide</w:t>
      </w:r>
      <w:r w:rsidRPr="00CB5B5F">
        <w:rPr>
          <w:sz w:val="18"/>
          <w:szCs w:val="18"/>
        </w:rPr>
        <w:t xml:space="preserve">, </w:t>
      </w:r>
      <w:r w:rsidRPr="00CB5B5F">
        <w:rPr>
          <w:b/>
          <w:color w:val="000000"/>
          <w:sz w:val="18"/>
          <w:szCs w:val="18"/>
        </w:rPr>
        <w:t>¶</w:t>
      </w:r>
      <w:r w:rsidRPr="00CB5B5F">
        <w:rPr>
          <w:sz w:val="18"/>
          <w:szCs w:val="18"/>
        </w:rPr>
        <w:t xml:space="preserve"> 25, </w:t>
      </w:r>
      <w:r w:rsidRPr="00CB5B5F">
        <w:rPr>
          <w:color w:val="000000"/>
          <w:sz w:val="18"/>
          <w:szCs w:val="18"/>
        </w:rPr>
        <w:t xml:space="preserve">U.N. Doc. </w:t>
      </w:r>
      <w:r w:rsidRPr="00CB5B5F">
        <w:rPr>
          <w:sz w:val="18"/>
          <w:szCs w:val="18"/>
        </w:rPr>
        <w:t>A/71/398 (2016)</w:t>
      </w:r>
      <w:r w:rsidR="00E90A23" w:rsidRPr="00CB5B5F">
        <w:rPr>
          <w:sz w:val="18"/>
          <w:szCs w:val="18"/>
        </w:rPr>
        <w:t xml:space="preserve"> [hereinafter SRVAW, </w:t>
      </w:r>
      <w:r w:rsidR="00E90A23" w:rsidRPr="00CB5B5F">
        <w:rPr>
          <w:i/>
          <w:sz w:val="18"/>
          <w:szCs w:val="18"/>
        </w:rPr>
        <w:t>Report on femicide</w:t>
      </w:r>
      <w:r w:rsidR="00E90A23" w:rsidRPr="00CB5B5F">
        <w:rPr>
          <w:sz w:val="18"/>
          <w:szCs w:val="18"/>
        </w:rPr>
        <w:t>]</w:t>
      </w:r>
      <w:r w:rsidRPr="00CB5B5F">
        <w:rPr>
          <w:sz w:val="18"/>
          <w:szCs w:val="18"/>
        </w:rPr>
        <w:t>.</w:t>
      </w:r>
    </w:p>
  </w:endnote>
  <w:endnote w:id="5">
    <w:p w14:paraId="760C6FBC" w14:textId="77777777" w:rsidR="00C31D64" w:rsidRPr="00CB5B5F" w:rsidRDefault="00C31D64" w:rsidP="00DD5F65">
      <w:pPr>
        <w:pStyle w:val="EndnoteText"/>
        <w:rPr>
          <w:i/>
          <w:sz w:val="18"/>
          <w:szCs w:val="18"/>
        </w:rPr>
      </w:pPr>
      <w:r w:rsidRPr="00CB5B5F">
        <w:rPr>
          <w:rStyle w:val="EndnoteReference"/>
          <w:sz w:val="18"/>
          <w:szCs w:val="18"/>
        </w:rPr>
        <w:endnoteRef/>
      </w:r>
      <w:r w:rsidRPr="00CB5B5F">
        <w:rPr>
          <w:sz w:val="18"/>
          <w:szCs w:val="18"/>
        </w:rPr>
        <w:t xml:space="preserve"> </w:t>
      </w:r>
      <w:r w:rsidRPr="00CB5B5F">
        <w:rPr>
          <w:smallCaps/>
          <w:sz w:val="18"/>
          <w:szCs w:val="18"/>
        </w:rPr>
        <w:t>United States Agency for International Development (USAID), Untied States Strategy to Prevent and Respond to Gender-based Violence Globally</w:t>
      </w:r>
      <w:r w:rsidRPr="00CB5B5F">
        <w:rPr>
          <w:sz w:val="18"/>
          <w:szCs w:val="18"/>
        </w:rPr>
        <w:t xml:space="preserve"> 7 (Aug. 10, 2012), </w:t>
      </w:r>
      <w:hyperlink r:id="rId1" w:history="1">
        <w:r w:rsidRPr="00CB5B5F">
          <w:rPr>
            <w:rStyle w:val="Hyperlink"/>
            <w:sz w:val="18"/>
            <w:szCs w:val="18"/>
          </w:rPr>
          <w:t>http://www.state.gov/documents/organization/196468.pdf</w:t>
        </w:r>
      </w:hyperlink>
      <w:r w:rsidRPr="00CB5B5F">
        <w:rPr>
          <w:sz w:val="18"/>
          <w:szCs w:val="18"/>
        </w:rPr>
        <w:t xml:space="preserve">. </w:t>
      </w:r>
    </w:p>
  </w:endnote>
  <w:endnote w:id="6">
    <w:p w14:paraId="6F63F509" w14:textId="3CD66DFD"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See</w:t>
      </w:r>
      <w:r w:rsidRPr="00CB5B5F">
        <w:rPr>
          <w:sz w:val="18"/>
          <w:szCs w:val="18"/>
        </w:rPr>
        <w:t xml:space="preserve"> Annex A [Fundación Paso a Paso, </w:t>
      </w:r>
      <w:proofErr w:type="spellStart"/>
      <w:r w:rsidRPr="00CB5B5F">
        <w:rPr>
          <w:i/>
          <w:sz w:val="18"/>
          <w:szCs w:val="18"/>
        </w:rPr>
        <w:t>Muestras</w:t>
      </w:r>
      <w:proofErr w:type="spellEnd"/>
      <w:r w:rsidRPr="00CB5B5F">
        <w:rPr>
          <w:i/>
          <w:sz w:val="18"/>
          <w:szCs w:val="18"/>
        </w:rPr>
        <w:t xml:space="preserve"> </w:t>
      </w:r>
      <w:proofErr w:type="spellStart"/>
      <w:r w:rsidRPr="00CB5B5F">
        <w:rPr>
          <w:i/>
          <w:sz w:val="18"/>
          <w:szCs w:val="18"/>
        </w:rPr>
        <w:t>sobre</w:t>
      </w:r>
      <w:proofErr w:type="spellEnd"/>
      <w:r w:rsidRPr="00CB5B5F">
        <w:rPr>
          <w:i/>
          <w:sz w:val="18"/>
          <w:szCs w:val="18"/>
        </w:rPr>
        <w:t xml:space="preserve"> la </w:t>
      </w:r>
      <w:proofErr w:type="spellStart"/>
      <w:r w:rsidRPr="00CB5B5F">
        <w:rPr>
          <w:i/>
          <w:sz w:val="18"/>
          <w:szCs w:val="18"/>
        </w:rPr>
        <w:t>situación</w:t>
      </w:r>
      <w:proofErr w:type="spellEnd"/>
      <w:r w:rsidRPr="00CB5B5F">
        <w:rPr>
          <w:i/>
          <w:sz w:val="18"/>
          <w:szCs w:val="18"/>
        </w:rPr>
        <w:t xml:space="preserve"> de las </w:t>
      </w:r>
      <w:proofErr w:type="spellStart"/>
      <w:r w:rsidRPr="00CB5B5F">
        <w:rPr>
          <w:i/>
          <w:sz w:val="18"/>
          <w:szCs w:val="18"/>
        </w:rPr>
        <w:t>mujeres</w:t>
      </w:r>
      <w:proofErr w:type="spellEnd"/>
      <w:r w:rsidRPr="00CB5B5F">
        <w:rPr>
          <w:i/>
          <w:sz w:val="18"/>
          <w:szCs w:val="18"/>
        </w:rPr>
        <w:t xml:space="preserve"> con </w:t>
      </w:r>
      <w:proofErr w:type="spellStart"/>
      <w:r w:rsidRPr="00CB5B5F">
        <w:rPr>
          <w:i/>
          <w:sz w:val="18"/>
          <w:szCs w:val="18"/>
        </w:rPr>
        <w:t>discapacidad</w:t>
      </w:r>
      <w:proofErr w:type="spellEnd"/>
      <w:r w:rsidRPr="00CB5B5F">
        <w:rPr>
          <w:sz w:val="18"/>
          <w:szCs w:val="18"/>
        </w:rPr>
        <w:t xml:space="preserve"> (attached)], Annex C [Dorothy </w:t>
      </w:r>
      <w:proofErr w:type="spellStart"/>
      <w:r w:rsidRPr="00CB5B5F">
        <w:rPr>
          <w:sz w:val="18"/>
          <w:szCs w:val="18"/>
        </w:rPr>
        <w:t>Njemanze</w:t>
      </w:r>
      <w:proofErr w:type="spellEnd"/>
      <w:r w:rsidRPr="00CB5B5F">
        <w:rPr>
          <w:sz w:val="18"/>
          <w:szCs w:val="18"/>
        </w:rPr>
        <w:t xml:space="preserve"> Foundation, </w:t>
      </w:r>
      <w:r w:rsidRPr="00CB5B5F">
        <w:rPr>
          <w:i/>
          <w:sz w:val="18"/>
          <w:szCs w:val="18"/>
        </w:rPr>
        <w:t xml:space="preserve">A report on Femicide in Nigeria </w:t>
      </w:r>
      <w:r w:rsidRPr="00CB5B5F">
        <w:rPr>
          <w:sz w:val="18"/>
          <w:szCs w:val="18"/>
        </w:rPr>
        <w:t>(attached)], and Annex D [Advocacy for Women with Disabilities Initiative (attached)].</w:t>
      </w:r>
    </w:p>
  </w:endnote>
  <w:endnote w:id="7">
    <w:p w14:paraId="76A229B0" w14:textId="06F1401C"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CB5B5F" w:rsidRPr="00CB5B5F">
        <w:rPr>
          <w:sz w:val="18"/>
          <w:szCs w:val="18"/>
        </w:rPr>
        <w:t>Convention on the Rights of Persons with Disabilities, adopted Dec. 13, 2006, arts. 10, 31, G.A. Res. A/RES/61/106, U.N. GAOR, 61st Sess., U.N. Doc. A/61/611, (entered into force May, 3 2008) [hereinafter CRPD].</w:t>
      </w:r>
    </w:p>
  </w:endnote>
  <w:endnote w:id="8">
    <w:p w14:paraId="4FBA8F96" w14:textId="2019FDB6"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CB5B5F" w:rsidRPr="00CB5B5F">
        <w:rPr>
          <w:i/>
          <w:sz w:val="18"/>
          <w:szCs w:val="18"/>
        </w:rPr>
        <w:t>See, e.g.</w:t>
      </w:r>
      <w:r w:rsidRPr="00CB5B5F">
        <w:rPr>
          <w:sz w:val="18"/>
          <w:szCs w:val="18"/>
        </w:rPr>
        <w:t>, E</w:t>
      </w:r>
      <w:r w:rsidR="00CB5B5F" w:rsidRPr="00CB5B5F">
        <w:rPr>
          <w:sz w:val="18"/>
          <w:szCs w:val="18"/>
        </w:rPr>
        <w:t>conomic Council of Latin American and the Caribbean (ECLAC)</w:t>
      </w:r>
      <w:r w:rsidRPr="00CB5B5F">
        <w:rPr>
          <w:sz w:val="18"/>
          <w:szCs w:val="18"/>
        </w:rPr>
        <w:t xml:space="preserve">, </w:t>
      </w:r>
      <w:r w:rsidRPr="00CB5B5F">
        <w:rPr>
          <w:i/>
          <w:sz w:val="18"/>
          <w:szCs w:val="18"/>
        </w:rPr>
        <w:t>Gender Equality Observatory for Latin America and the Caribbean</w:t>
      </w:r>
      <w:r w:rsidRPr="00CB5B5F">
        <w:rPr>
          <w:sz w:val="18"/>
          <w:szCs w:val="18"/>
        </w:rPr>
        <w:t xml:space="preserve">, Femicide or Feminicide section, available at </w:t>
      </w:r>
      <w:hyperlink r:id="rId2" w:history="1">
        <w:r w:rsidRPr="00CB5B5F">
          <w:rPr>
            <w:rStyle w:val="Hyperlink"/>
            <w:sz w:val="18"/>
            <w:szCs w:val="18"/>
          </w:rPr>
          <w:t>https://oig.cepal.org/en</w:t>
        </w:r>
      </w:hyperlink>
      <w:r w:rsidRPr="00CB5B5F">
        <w:rPr>
          <w:sz w:val="18"/>
          <w:szCs w:val="18"/>
        </w:rPr>
        <w:t xml:space="preserve"> (an ECLAC initiative that collects official information provided by States).</w:t>
      </w:r>
    </w:p>
  </w:endnote>
  <w:endnote w:id="9">
    <w:p w14:paraId="281B45A3" w14:textId="77777777" w:rsidR="00C31D64" w:rsidRPr="00CB5B5F" w:rsidRDefault="00C31D64" w:rsidP="00DD5F65">
      <w:pPr>
        <w:pStyle w:val="EndnoteText"/>
        <w:rPr>
          <w:i/>
          <w:sz w:val="18"/>
          <w:szCs w:val="18"/>
        </w:rPr>
      </w:pPr>
      <w:r w:rsidRPr="00CB5B5F">
        <w:rPr>
          <w:rStyle w:val="EndnoteReference"/>
          <w:sz w:val="18"/>
          <w:szCs w:val="18"/>
        </w:rPr>
        <w:endnoteRef/>
      </w:r>
      <w:r w:rsidRPr="00CB5B5F">
        <w:rPr>
          <w:sz w:val="18"/>
          <w:szCs w:val="18"/>
        </w:rPr>
        <w:t xml:space="preserve"> UN Special Rapporteur on Violence against Women, </w:t>
      </w:r>
      <w:r w:rsidRPr="00CB5B5F">
        <w:rPr>
          <w:i/>
          <w:sz w:val="18"/>
          <w:szCs w:val="18"/>
        </w:rPr>
        <w:t>Report of the Special Rapporteur on violence against women,</w:t>
      </w:r>
    </w:p>
    <w:p w14:paraId="495CD85C" w14:textId="240721DC" w:rsidR="00C31D64" w:rsidRPr="00CB5B5F" w:rsidRDefault="00C31D64" w:rsidP="00DD5F65">
      <w:pPr>
        <w:pStyle w:val="EndnoteText"/>
        <w:rPr>
          <w:sz w:val="18"/>
          <w:szCs w:val="18"/>
        </w:rPr>
      </w:pPr>
      <w:r w:rsidRPr="00CB5B5F">
        <w:rPr>
          <w:i/>
          <w:sz w:val="18"/>
          <w:szCs w:val="18"/>
        </w:rPr>
        <w:t>its causes and consequences</w:t>
      </w:r>
      <w:r w:rsidRPr="00CB5B5F">
        <w:rPr>
          <w:sz w:val="18"/>
          <w:szCs w:val="18"/>
        </w:rPr>
        <w:t xml:space="preserve">, </w:t>
      </w:r>
      <w:r w:rsidRPr="00CB5B5F">
        <w:rPr>
          <w:b/>
          <w:color w:val="000000"/>
          <w:sz w:val="18"/>
          <w:szCs w:val="18"/>
        </w:rPr>
        <w:t>¶</w:t>
      </w:r>
      <w:r w:rsidRPr="00CB5B5F">
        <w:rPr>
          <w:sz w:val="18"/>
          <w:szCs w:val="18"/>
        </w:rPr>
        <w:t xml:space="preserve"> </w:t>
      </w:r>
      <w:r w:rsidRPr="00CB5B5F">
        <w:rPr>
          <w:color w:val="000000"/>
          <w:sz w:val="18"/>
          <w:szCs w:val="18"/>
        </w:rPr>
        <w:t>45, U.N. Doc. A/HRC/32/42 (2016).</w:t>
      </w:r>
    </w:p>
  </w:endnote>
  <w:endnote w:id="10">
    <w:p w14:paraId="481DEBAE" w14:textId="77777777" w:rsidR="001A0D81" w:rsidRPr="00CB5B5F" w:rsidRDefault="001A0D81" w:rsidP="001A0D81">
      <w:pPr>
        <w:pStyle w:val="EndnoteText"/>
        <w:rPr>
          <w:rStyle w:val="Hyperlink"/>
          <w:sz w:val="18"/>
          <w:szCs w:val="18"/>
        </w:rPr>
      </w:pPr>
      <w:r w:rsidRPr="00CB5B5F">
        <w:rPr>
          <w:rStyle w:val="EndnoteReference"/>
          <w:sz w:val="18"/>
          <w:szCs w:val="18"/>
        </w:rPr>
        <w:endnoteRef/>
      </w:r>
      <w:r w:rsidRPr="00CB5B5F">
        <w:rPr>
          <w:sz w:val="18"/>
          <w:szCs w:val="18"/>
        </w:rPr>
        <w:t xml:space="preserve"> </w:t>
      </w:r>
      <w:r w:rsidRPr="00CB5B5F">
        <w:rPr>
          <w:i/>
          <w:sz w:val="18"/>
          <w:szCs w:val="18"/>
        </w:rPr>
        <w:t>See id.</w:t>
      </w:r>
      <w:r w:rsidRPr="00CB5B5F">
        <w:rPr>
          <w:sz w:val="18"/>
          <w:szCs w:val="18"/>
        </w:rPr>
        <w:t xml:space="preserve">; </w:t>
      </w:r>
      <w:r w:rsidRPr="00CB5B5F">
        <w:rPr>
          <w:i/>
          <w:sz w:val="18"/>
          <w:szCs w:val="18"/>
        </w:rPr>
        <w:t>see also</w:t>
      </w:r>
      <w:r w:rsidRPr="00CB5B5F">
        <w:rPr>
          <w:sz w:val="18"/>
          <w:szCs w:val="18"/>
        </w:rPr>
        <w:t xml:space="preserve"> </w:t>
      </w:r>
      <w:r w:rsidRPr="003F5415">
        <w:rPr>
          <w:rStyle w:val="Hyperlink"/>
          <w:sz w:val="18"/>
          <w:szCs w:val="18"/>
        </w:rPr>
        <w:t>http://interwp.cepal.org/sisgen/SisGen_MuestraFicha_puntual.asp?id_aplicacion=17&amp;id_estudio=</w:t>
      </w:r>
    </w:p>
    <w:p w14:paraId="3EE74F1F" w14:textId="77777777" w:rsidR="001A0D81" w:rsidRPr="00CB5B5F" w:rsidRDefault="001A0D81" w:rsidP="001A0D81">
      <w:pPr>
        <w:pStyle w:val="EndnoteText"/>
        <w:rPr>
          <w:color w:val="0563C1" w:themeColor="hyperlink"/>
          <w:sz w:val="18"/>
          <w:szCs w:val="18"/>
          <w:u w:val="single"/>
        </w:rPr>
      </w:pPr>
      <w:r w:rsidRPr="00CB5B5F">
        <w:rPr>
          <w:rStyle w:val="Hyperlink"/>
          <w:sz w:val="18"/>
          <w:szCs w:val="18"/>
        </w:rPr>
        <w:t>0&amp;indicador=2780&amp;idioma=</w:t>
      </w:r>
      <w:proofErr w:type="spellStart"/>
      <w:r w:rsidRPr="00CB5B5F">
        <w:rPr>
          <w:rStyle w:val="Hyperlink"/>
          <w:sz w:val="18"/>
          <w:szCs w:val="18"/>
        </w:rPr>
        <w:t>i</w:t>
      </w:r>
      <w:proofErr w:type="spellEnd"/>
      <w:r w:rsidRPr="00CB5B5F">
        <w:rPr>
          <w:sz w:val="18"/>
          <w:szCs w:val="18"/>
        </w:rPr>
        <w:t xml:space="preserve"> (showing that some States gather information about the age, nationality, marital status, gender identity of the victims, and variables like the place where the femicide occurred, means used for the femicides, </w:t>
      </w:r>
      <w:proofErr w:type="spellStart"/>
      <w:r w:rsidRPr="00CB5B5F">
        <w:rPr>
          <w:sz w:val="18"/>
          <w:szCs w:val="18"/>
        </w:rPr>
        <w:t>etc</w:t>
      </w:r>
      <w:proofErr w:type="spellEnd"/>
      <w:r w:rsidRPr="00CB5B5F">
        <w:rPr>
          <w:sz w:val="18"/>
          <w:szCs w:val="18"/>
        </w:rPr>
        <w:t>).</w:t>
      </w:r>
    </w:p>
  </w:endnote>
  <w:endnote w:id="11">
    <w:p w14:paraId="6F723F5A" w14:textId="62276311"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See</w:t>
      </w:r>
      <w:r w:rsidRPr="00CB5B5F">
        <w:rPr>
          <w:sz w:val="18"/>
          <w:szCs w:val="18"/>
        </w:rPr>
        <w:t xml:space="preserve"> Annex B </w:t>
      </w:r>
      <w:r w:rsidR="00B760CD" w:rsidRPr="00CB5B5F">
        <w:rPr>
          <w:sz w:val="18"/>
          <w:szCs w:val="18"/>
        </w:rPr>
        <w:t>[</w:t>
      </w:r>
      <w:r w:rsidRPr="00CB5B5F">
        <w:rPr>
          <w:sz w:val="18"/>
          <w:szCs w:val="18"/>
        </w:rPr>
        <w:t xml:space="preserve">REDI </w:t>
      </w:r>
      <w:r w:rsidR="00B760CD" w:rsidRPr="00CB5B5F">
        <w:rPr>
          <w:sz w:val="18"/>
          <w:szCs w:val="18"/>
        </w:rPr>
        <w:t>–</w:t>
      </w:r>
      <w:r w:rsidRPr="00CB5B5F">
        <w:rPr>
          <w:sz w:val="18"/>
          <w:szCs w:val="18"/>
        </w:rPr>
        <w:t xml:space="preserve"> </w:t>
      </w:r>
      <w:proofErr w:type="spellStart"/>
      <w:r w:rsidRPr="00CB5B5F">
        <w:rPr>
          <w:i/>
          <w:sz w:val="18"/>
          <w:szCs w:val="18"/>
        </w:rPr>
        <w:t>Avances</w:t>
      </w:r>
      <w:proofErr w:type="spellEnd"/>
      <w:r w:rsidRPr="00CB5B5F">
        <w:rPr>
          <w:i/>
          <w:sz w:val="18"/>
          <w:szCs w:val="18"/>
        </w:rPr>
        <w:t xml:space="preserve"> y </w:t>
      </w:r>
      <w:proofErr w:type="spellStart"/>
      <w:r w:rsidRPr="00CB5B5F">
        <w:rPr>
          <w:i/>
          <w:sz w:val="18"/>
          <w:szCs w:val="18"/>
        </w:rPr>
        <w:t>Desafios</w:t>
      </w:r>
      <w:proofErr w:type="spellEnd"/>
      <w:r w:rsidRPr="00CB5B5F">
        <w:rPr>
          <w:i/>
          <w:sz w:val="18"/>
          <w:szCs w:val="18"/>
        </w:rPr>
        <w:t xml:space="preserve"> </w:t>
      </w:r>
      <w:proofErr w:type="spellStart"/>
      <w:r w:rsidRPr="00CB5B5F">
        <w:rPr>
          <w:i/>
          <w:sz w:val="18"/>
          <w:szCs w:val="18"/>
        </w:rPr>
        <w:t>en</w:t>
      </w:r>
      <w:proofErr w:type="spellEnd"/>
      <w:r w:rsidRPr="00CB5B5F">
        <w:rPr>
          <w:i/>
          <w:sz w:val="18"/>
          <w:szCs w:val="18"/>
        </w:rPr>
        <w:t xml:space="preserve"> la </w:t>
      </w:r>
      <w:proofErr w:type="spellStart"/>
      <w:r w:rsidRPr="00CB5B5F">
        <w:rPr>
          <w:i/>
          <w:sz w:val="18"/>
          <w:szCs w:val="18"/>
        </w:rPr>
        <w:t>Produccion</w:t>
      </w:r>
      <w:proofErr w:type="spellEnd"/>
      <w:r w:rsidRPr="00CB5B5F">
        <w:rPr>
          <w:i/>
          <w:sz w:val="18"/>
          <w:szCs w:val="18"/>
        </w:rPr>
        <w:t xml:space="preserve"> de </w:t>
      </w:r>
      <w:proofErr w:type="spellStart"/>
      <w:r w:rsidRPr="00CB5B5F">
        <w:rPr>
          <w:i/>
          <w:sz w:val="18"/>
          <w:szCs w:val="18"/>
        </w:rPr>
        <w:t>Información</w:t>
      </w:r>
      <w:proofErr w:type="spellEnd"/>
      <w:r w:rsidRPr="00CB5B5F">
        <w:rPr>
          <w:i/>
          <w:sz w:val="18"/>
          <w:szCs w:val="18"/>
        </w:rPr>
        <w:t xml:space="preserve"> </w:t>
      </w:r>
      <w:proofErr w:type="spellStart"/>
      <w:r w:rsidRPr="00CB5B5F">
        <w:rPr>
          <w:i/>
          <w:sz w:val="18"/>
          <w:szCs w:val="18"/>
        </w:rPr>
        <w:t>sobre</w:t>
      </w:r>
      <w:proofErr w:type="spellEnd"/>
      <w:r w:rsidRPr="00CB5B5F">
        <w:rPr>
          <w:i/>
          <w:sz w:val="18"/>
          <w:szCs w:val="18"/>
        </w:rPr>
        <w:t xml:space="preserve"> </w:t>
      </w:r>
      <w:proofErr w:type="spellStart"/>
      <w:r w:rsidRPr="00CB5B5F">
        <w:rPr>
          <w:i/>
          <w:sz w:val="18"/>
          <w:szCs w:val="18"/>
        </w:rPr>
        <w:t>Femicidios</w:t>
      </w:r>
      <w:proofErr w:type="spellEnd"/>
      <w:r w:rsidRPr="00CB5B5F">
        <w:rPr>
          <w:i/>
          <w:sz w:val="18"/>
          <w:szCs w:val="18"/>
        </w:rPr>
        <w:t xml:space="preserve"> y </w:t>
      </w:r>
      <w:proofErr w:type="spellStart"/>
      <w:r w:rsidRPr="00CB5B5F">
        <w:rPr>
          <w:i/>
          <w:sz w:val="18"/>
          <w:szCs w:val="18"/>
        </w:rPr>
        <w:t>Homicidios</w:t>
      </w:r>
      <w:proofErr w:type="spellEnd"/>
      <w:r w:rsidRPr="00CB5B5F">
        <w:rPr>
          <w:i/>
          <w:sz w:val="18"/>
          <w:szCs w:val="18"/>
        </w:rPr>
        <w:t xml:space="preserve"> </w:t>
      </w:r>
      <w:proofErr w:type="spellStart"/>
      <w:r w:rsidRPr="00CB5B5F">
        <w:rPr>
          <w:i/>
          <w:sz w:val="18"/>
          <w:szCs w:val="18"/>
        </w:rPr>
        <w:t>por</w:t>
      </w:r>
      <w:proofErr w:type="spellEnd"/>
      <w:r w:rsidRPr="00CB5B5F">
        <w:rPr>
          <w:i/>
          <w:sz w:val="18"/>
          <w:szCs w:val="18"/>
        </w:rPr>
        <w:t xml:space="preserve"> </w:t>
      </w:r>
      <w:proofErr w:type="spellStart"/>
      <w:r w:rsidRPr="00CB5B5F">
        <w:rPr>
          <w:i/>
          <w:sz w:val="18"/>
          <w:szCs w:val="18"/>
        </w:rPr>
        <w:t>Razón</w:t>
      </w:r>
      <w:proofErr w:type="spellEnd"/>
      <w:r w:rsidRPr="00CB5B5F">
        <w:rPr>
          <w:i/>
          <w:sz w:val="18"/>
          <w:szCs w:val="18"/>
        </w:rPr>
        <w:t xml:space="preserve"> de </w:t>
      </w:r>
      <w:proofErr w:type="spellStart"/>
      <w:r w:rsidRPr="00CB5B5F">
        <w:rPr>
          <w:i/>
          <w:sz w:val="18"/>
          <w:szCs w:val="18"/>
        </w:rPr>
        <w:t>Género</w:t>
      </w:r>
      <w:proofErr w:type="spellEnd"/>
      <w:r w:rsidRPr="00CB5B5F">
        <w:rPr>
          <w:i/>
          <w:sz w:val="18"/>
          <w:szCs w:val="18"/>
        </w:rPr>
        <w:t xml:space="preserve"> con </w:t>
      </w:r>
      <w:proofErr w:type="spellStart"/>
      <w:r w:rsidRPr="00CB5B5F">
        <w:rPr>
          <w:i/>
          <w:sz w:val="18"/>
          <w:szCs w:val="18"/>
        </w:rPr>
        <w:t>Perspectiva</w:t>
      </w:r>
      <w:proofErr w:type="spellEnd"/>
      <w:r w:rsidRPr="00CB5B5F">
        <w:rPr>
          <w:i/>
          <w:sz w:val="18"/>
          <w:szCs w:val="18"/>
        </w:rPr>
        <w:t xml:space="preserve"> de </w:t>
      </w:r>
      <w:proofErr w:type="spellStart"/>
      <w:r w:rsidRPr="00CB5B5F">
        <w:rPr>
          <w:i/>
          <w:sz w:val="18"/>
          <w:szCs w:val="18"/>
        </w:rPr>
        <w:t>Discapacidad</w:t>
      </w:r>
      <w:proofErr w:type="spellEnd"/>
      <w:r w:rsidRPr="00CB5B5F">
        <w:rPr>
          <w:i/>
          <w:sz w:val="18"/>
          <w:szCs w:val="18"/>
        </w:rPr>
        <w:t xml:space="preserve"> </w:t>
      </w:r>
      <w:proofErr w:type="spellStart"/>
      <w:r w:rsidRPr="00CB5B5F">
        <w:rPr>
          <w:i/>
          <w:sz w:val="18"/>
          <w:szCs w:val="18"/>
        </w:rPr>
        <w:t>en</w:t>
      </w:r>
      <w:proofErr w:type="spellEnd"/>
      <w:r w:rsidRPr="00CB5B5F">
        <w:rPr>
          <w:i/>
          <w:sz w:val="18"/>
          <w:szCs w:val="18"/>
        </w:rPr>
        <w:t xml:space="preserve"> Argentina</w:t>
      </w:r>
      <w:r w:rsidRPr="00CB5B5F">
        <w:rPr>
          <w:sz w:val="18"/>
          <w:szCs w:val="18"/>
        </w:rPr>
        <w:t xml:space="preserve"> (explaining that “the National Judicial Registry of Femicides in Argentina functions under the Supreme Court of Justice of the Nation and relieves statistical data of the judicial causes for violent death of women for reasons of gender”</w:t>
      </w:r>
      <w:r w:rsidR="00B760CD" w:rsidRPr="00CB5B5F">
        <w:rPr>
          <w:sz w:val="18"/>
          <w:szCs w:val="18"/>
        </w:rPr>
        <w:t xml:space="preserve"> </w:t>
      </w:r>
      <w:r w:rsidR="003F5415">
        <w:rPr>
          <w:sz w:val="18"/>
          <w:szCs w:val="18"/>
        </w:rPr>
        <w:t>a</w:t>
      </w:r>
      <w:r w:rsidR="003F5415" w:rsidRPr="003F5415">
        <w:rPr>
          <w:sz w:val="18"/>
          <w:szCs w:val="18"/>
        </w:rPr>
        <w:t xml:space="preserve">nd "When, based on the information available in the case, it appears that the victim was a person with a disability, whether or not his disability or capacity restriction was declared under the terms of the National Civil and Commercial Code." </w:t>
      </w:r>
      <w:r w:rsidR="00B760CD" w:rsidRPr="003F5415">
        <w:rPr>
          <w:sz w:val="18"/>
          <w:szCs w:val="18"/>
        </w:rPr>
        <w:t>(attached)</w:t>
      </w:r>
      <w:r w:rsidR="003F5415" w:rsidRPr="003F5415">
        <w:rPr>
          <w:sz w:val="18"/>
          <w:szCs w:val="18"/>
        </w:rPr>
        <w:t>)</w:t>
      </w:r>
      <w:r w:rsidRPr="00CB5B5F">
        <w:rPr>
          <w:sz w:val="18"/>
          <w:szCs w:val="18"/>
        </w:rPr>
        <w:t xml:space="preserve"> [author’s translation from Spanish].</w:t>
      </w:r>
    </w:p>
  </w:endnote>
  <w:endnote w:id="12">
    <w:p w14:paraId="0CF54D18"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Pr="00CB5B5F">
        <w:rPr>
          <w:sz w:val="18"/>
          <w:szCs w:val="18"/>
        </w:rPr>
        <w:t>, (adding that the information disseminated by the State, however, does not indicate whether this person with a disability was a victim of direct femicide, linked or by interposition in line of fire, if there were protective measures and the means used in the femicide. Nor is information provided on the victim’s age, gender identity, occupation, educational level and nationality, if there were ‘situations of specific vulnerability (migration ..., pregnancy, not being native of the Spanish language, being in a prostitution situation, deprived of freedom)’ or the type of link that existed between victim and victimizer.”) [author’s translation from Spanish].</w:t>
      </w:r>
    </w:p>
  </w:endnote>
  <w:endnote w:id="13">
    <w:p w14:paraId="399B4CB0" w14:textId="007E6C4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00CB5B5F" w:rsidRPr="00CB5B5F">
        <w:rPr>
          <w:i/>
          <w:sz w:val="18"/>
          <w:szCs w:val="18"/>
        </w:rPr>
        <w:t>.</w:t>
      </w:r>
    </w:p>
  </w:endnote>
  <w:endnote w:id="14">
    <w:p w14:paraId="701ABCD6" w14:textId="5A4421FB" w:rsidR="00CB5B5F" w:rsidRPr="00CB5B5F" w:rsidRDefault="00C31D64" w:rsidP="00DD5F65">
      <w:pPr>
        <w:pStyle w:val="EndnoteText"/>
        <w:rPr>
          <w:rStyle w:val="Hyperlink"/>
          <w:sz w:val="18"/>
          <w:szCs w:val="18"/>
        </w:rPr>
      </w:pPr>
      <w:r w:rsidRPr="00CB5B5F">
        <w:rPr>
          <w:rStyle w:val="EndnoteReference"/>
          <w:sz w:val="18"/>
          <w:szCs w:val="18"/>
        </w:rPr>
        <w:endnoteRef/>
      </w:r>
      <w:r w:rsidRPr="00CB5B5F">
        <w:rPr>
          <w:sz w:val="18"/>
          <w:szCs w:val="18"/>
        </w:rPr>
        <w:t xml:space="preserve"> UN Women, </w:t>
      </w:r>
      <w:proofErr w:type="spellStart"/>
      <w:r w:rsidRPr="00CB5B5F">
        <w:rPr>
          <w:sz w:val="18"/>
          <w:szCs w:val="18"/>
        </w:rPr>
        <w:t>UNiTE</w:t>
      </w:r>
      <w:proofErr w:type="spellEnd"/>
      <w:r w:rsidRPr="00CB5B5F">
        <w:rPr>
          <w:sz w:val="18"/>
          <w:szCs w:val="18"/>
        </w:rPr>
        <w:t xml:space="preserve">, OHCHR, </w:t>
      </w:r>
      <w:r w:rsidRPr="00CB5B5F">
        <w:rPr>
          <w:i/>
          <w:sz w:val="18"/>
          <w:szCs w:val="18"/>
        </w:rPr>
        <w:t>Latin American Model Protocol for the investigation of gender-related killings of women (femicide/feminicide),</w:t>
      </w:r>
      <w:r w:rsidRPr="00CB5B5F">
        <w:rPr>
          <w:sz w:val="18"/>
          <w:szCs w:val="18"/>
        </w:rPr>
        <w:t xml:space="preserve"> </w:t>
      </w:r>
      <w:r w:rsidRPr="00CB5B5F">
        <w:rPr>
          <w:color w:val="000000"/>
          <w:sz w:val="18"/>
          <w:szCs w:val="18"/>
        </w:rPr>
        <w:t xml:space="preserve">¶ 141, available at </w:t>
      </w:r>
      <w:hyperlink r:id="rId3" w:history="1">
        <w:r w:rsidR="00CB5B5F" w:rsidRPr="00CB5B5F">
          <w:rPr>
            <w:rStyle w:val="Hyperlink"/>
            <w:sz w:val="18"/>
            <w:szCs w:val="18"/>
          </w:rPr>
          <w:t>http://www2.unwomen.org/-/media/field%20office%20caribbean/attachments/</w:t>
        </w:r>
      </w:hyperlink>
    </w:p>
    <w:p w14:paraId="0152BD7E" w14:textId="5F1CD4C0" w:rsidR="00C31D64" w:rsidRPr="00CB5B5F" w:rsidRDefault="00C31D64" w:rsidP="00DD5F65">
      <w:pPr>
        <w:pStyle w:val="EndnoteText"/>
        <w:rPr>
          <w:sz w:val="18"/>
          <w:szCs w:val="18"/>
        </w:rPr>
      </w:pPr>
      <w:r w:rsidRPr="00CB5B5F">
        <w:rPr>
          <w:rStyle w:val="Hyperlink"/>
          <w:sz w:val="18"/>
          <w:szCs w:val="18"/>
        </w:rPr>
        <w:t>publications/latinamericanprotocolforinvestigationoffemicide.pdf?la=en&amp;vs=5729</w:t>
      </w:r>
      <w:r w:rsidR="00CB5B5F" w:rsidRPr="00CB5B5F">
        <w:rPr>
          <w:color w:val="000000"/>
          <w:sz w:val="18"/>
          <w:szCs w:val="18"/>
        </w:rPr>
        <w:t>.</w:t>
      </w:r>
    </w:p>
  </w:endnote>
  <w:endnote w:id="15">
    <w:p w14:paraId="6062DACE" w14:textId="7E74403A"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00CB5B5F" w:rsidRPr="00CB5B5F">
        <w:rPr>
          <w:sz w:val="18"/>
          <w:szCs w:val="18"/>
        </w:rPr>
        <w:t>,</w:t>
      </w:r>
      <w:r w:rsidRPr="00CB5B5F">
        <w:rPr>
          <w:i/>
          <w:sz w:val="18"/>
          <w:szCs w:val="18"/>
        </w:rPr>
        <w:t xml:space="preserve"> </w:t>
      </w:r>
      <w:r w:rsidRPr="00CB5B5F">
        <w:rPr>
          <w:color w:val="000000"/>
          <w:sz w:val="18"/>
          <w:szCs w:val="18"/>
        </w:rPr>
        <w:t>¶ 119.</w:t>
      </w:r>
    </w:p>
  </w:endnote>
  <w:endnote w:id="16">
    <w:p w14:paraId="1FC5C005" w14:textId="451CD716"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00CB5B5F" w:rsidRPr="00CB5B5F">
        <w:rPr>
          <w:sz w:val="18"/>
          <w:szCs w:val="18"/>
        </w:rPr>
        <w:t>,</w:t>
      </w:r>
      <w:r w:rsidRPr="00CB5B5F">
        <w:rPr>
          <w:sz w:val="18"/>
          <w:szCs w:val="18"/>
        </w:rPr>
        <w:t xml:space="preserve"> </w:t>
      </w:r>
      <w:r w:rsidRPr="00CB5B5F">
        <w:rPr>
          <w:color w:val="000000"/>
          <w:sz w:val="18"/>
          <w:szCs w:val="18"/>
        </w:rPr>
        <w:t>¶ 149-50.</w:t>
      </w:r>
    </w:p>
  </w:endnote>
  <w:endnote w:id="17">
    <w:p w14:paraId="55838E13" w14:textId="09983E8D"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Pr="00CB5B5F">
        <w:rPr>
          <w:sz w:val="18"/>
          <w:szCs w:val="18"/>
        </w:rPr>
        <w:t xml:space="preserve">, </w:t>
      </w:r>
      <w:r w:rsidRPr="00CB5B5F">
        <w:rPr>
          <w:color w:val="000000"/>
          <w:sz w:val="18"/>
          <w:szCs w:val="18"/>
        </w:rPr>
        <w:t>¶ 147-48.</w:t>
      </w:r>
    </w:p>
  </w:endnote>
  <w:endnote w:id="18">
    <w:p w14:paraId="4CE5B104" w14:textId="047C8D4C" w:rsidR="00C31D64" w:rsidRPr="00E44E10" w:rsidRDefault="00C31D64" w:rsidP="00DD5F65">
      <w:pPr>
        <w:pStyle w:val="EndnoteText"/>
        <w:rPr>
          <w:sz w:val="18"/>
          <w:szCs w:val="18"/>
        </w:rPr>
      </w:pPr>
      <w:r w:rsidRPr="00CB5B5F">
        <w:rPr>
          <w:rStyle w:val="EndnoteReference"/>
          <w:sz w:val="18"/>
          <w:szCs w:val="18"/>
        </w:rPr>
        <w:endnoteRef/>
      </w:r>
      <w:r w:rsidRPr="00E44E10">
        <w:rPr>
          <w:sz w:val="18"/>
          <w:szCs w:val="18"/>
        </w:rPr>
        <w:t xml:space="preserve"> </w:t>
      </w:r>
      <w:r w:rsidRPr="00E44E10">
        <w:rPr>
          <w:i/>
          <w:sz w:val="18"/>
          <w:szCs w:val="18"/>
        </w:rPr>
        <w:t xml:space="preserve">See </w:t>
      </w:r>
      <w:proofErr w:type="spellStart"/>
      <w:r w:rsidRPr="00E44E10">
        <w:rPr>
          <w:i/>
          <w:sz w:val="18"/>
          <w:szCs w:val="18"/>
        </w:rPr>
        <w:t>Protocolo</w:t>
      </w:r>
      <w:proofErr w:type="spellEnd"/>
      <w:r w:rsidRPr="00E44E10">
        <w:rPr>
          <w:i/>
          <w:sz w:val="18"/>
          <w:szCs w:val="18"/>
        </w:rPr>
        <w:t xml:space="preserve"> de </w:t>
      </w:r>
      <w:proofErr w:type="spellStart"/>
      <w:r w:rsidRPr="00E44E10">
        <w:rPr>
          <w:i/>
          <w:sz w:val="18"/>
          <w:szCs w:val="18"/>
        </w:rPr>
        <w:t>Investigación</w:t>
      </w:r>
      <w:proofErr w:type="spellEnd"/>
      <w:r w:rsidRPr="00E44E10">
        <w:rPr>
          <w:i/>
          <w:sz w:val="18"/>
          <w:szCs w:val="18"/>
        </w:rPr>
        <w:t xml:space="preserve"> Ministerial, </w:t>
      </w:r>
      <w:proofErr w:type="spellStart"/>
      <w:r w:rsidRPr="00E44E10">
        <w:rPr>
          <w:i/>
          <w:sz w:val="18"/>
          <w:szCs w:val="18"/>
        </w:rPr>
        <w:t>Policial</w:t>
      </w:r>
      <w:proofErr w:type="spellEnd"/>
      <w:r w:rsidRPr="00E44E10">
        <w:rPr>
          <w:i/>
          <w:sz w:val="18"/>
          <w:szCs w:val="18"/>
        </w:rPr>
        <w:t xml:space="preserve"> y </w:t>
      </w:r>
      <w:proofErr w:type="spellStart"/>
      <w:r w:rsidRPr="00E44E10">
        <w:rPr>
          <w:i/>
          <w:sz w:val="18"/>
          <w:szCs w:val="18"/>
        </w:rPr>
        <w:t>Pericial</w:t>
      </w:r>
      <w:proofErr w:type="spellEnd"/>
      <w:r w:rsidRPr="00E44E10">
        <w:rPr>
          <w:i/>
          <w:sz w:val="18"/>
          <w:szCs w:val="18"/>
        </w:rPr>
        <w:t xml:space="preserve"> con </w:t>
      </w:r>
      <w:proofErr w:type="spellStart"/>
      <w:r w:rsidRPr="00E44E10">
        <w:rPr>
          <w:i/>
          <w:sz w:val="18"/>
          <w:szCs w:val="18"/>
        </w:rPr>
        <w:t>Perspectiva</w:t>
      </w:r>
      <w:proofErr w:type="spellEnd"/>
      <w:r w:rsidRPr="00E44E10">
        <w:rPr>
          <w:i/>
          <w:sz w:val="18"/>
          <w:szCs w:val="18"/>
        </w:rPr>
        <w:t xml:space="preserve"> de </w:t>
      </w:r>
      <w:proofErr w:type="spellStart"/>
      <w:r w:rsidRPr="00E44E10">
        <w:rPr>
          <w:i/>
          <w:sz w:val="18"/>
          <w:szCs w:val="18"/>
        </w:rPr>
        <w:t>Género</w:t>
      </w:r>
      <w:proofErr w:type="spellEnd"/>
      <w:r w:rsidRPr="00E44E10">
        <w:rPr>
          <w:i/>
          <w:sz w:val="18"/>
          <w:szCs w:val="18"/>
        </w:rPr>
        <w:t xml:space="preserve"> para el </w:t>
      </w:r>
      <w:proofErr w:type="spellStart"/>
      <w:r w:rsidRPr="00E44E10">
        <w:rPr>
          <w:i/>
          <w:sz w:val="18"/>
          <w:szCs w:val="18"/>
        </w:rPr>
        <w:t>Delito</w:t>
      </w:r>
      <w:proofErr w:type="spellEnd"/>
      <w:r w:rsidRPr="00E44E10">
        <w:rPr>
          <w:i/>
          <w:sz w:val="18"/>
          <w:szCs w:val="18"/>
        </w:rPr>
        <w:t xml:space="preserve"> de </w:t>
      </w:r>
      <w:proofErr w:type="spellStart"/>
      <w:r w:rsidRPr="00E44E10">
        <w:rPr>
          <w:i/>
          <w:sz w:val="18"/>
          <w:szCs w:val="18"/>
        </w:rPr>
        <w:t>Femicidio</w:t>
      </w:r>
      <w:proofErr w:type="spellEnd"/>
      <w:r w:rsidRPr="00E44E10">
        <w:rPr>
          <w:sz w:val="18"/>
          <w:szCs w:val="18"/>
        </w:rPr>
        <w:t xml:space="preserve"> [Mexico] available at </w:t>
      </w:r>
      <w:r w:rsidRPr="00E44E10">
        <w:rPr>
          <w:rStyle w:val="Hyperlink"/>
          <w:sz w:val="18"/>
          <w:szCs w:val="18"/>
        </w:rPr>
        <w:t>https://www.gob.mx/cms/uploads/attachment/file/253267/Protocolo_Feminicidio.pdf</w:t>
      </w:r>
      <w:r w:rsidRPr="00E44E10">
        <w:rPr>
          <w:sz w:val="18"/>
          <w:szCs w:val="18"/>
        </w:rPr>
        <w:t xml:space="preserve"> (including specific provisions on women with disabilities at 21, 22) and </w:t>
      </w:r>
      <w:proofErr w:type="spellStart"/>
      <w:r w:rsidRPr="00E44E10">
        <w:rPr>
          <w:i/>
          <w:sz w:val="18"/>
          <w:szCs w:val="18"/>
        </w:rPr>
        <w:t>Protocolo</w:t>
      </w:r>
      <w:proofErr w:type="spellEnd"/>
      <w:r w:rsidRPr="00E44E10">
        <w:rPr>
          <w:i/>
          <w:sz w:val="18"/>
          <w:szCs w:val="18"/>
        </w:rPr>
        <w:t xml:space="preserve"> para la </w:t>
      </w:r>
      <w:proofErr w:type="spellStart"/>
      <w:r w:rsidRPr="00E44E10">
        <w:rPr>
          <w:i/>
          <w:sz w:val="18"/>
          <w:szCs w:val="18"/>
        </w:rPr>
        <w:t>investigación</w:t>
      </w:r>
      <w:proofErr w:type="spellEnd"/>
      <w:r w:rsidRPr="00E44E10">
        <w:rPr>
          <w:i/>
          <w:sz w:val="18"/>
          <w:szCs w:val="18"/>
        </w:rPr>
        <w:t xml:space="preserve"> y </w:t>
      </w:r>
      <w:proofErr w:type="spellStart"/>
      <w:r w:rsidRPr="00E44E10">
        <w:rPr>
          <w:i/>
          <w:sz w:val="18"/>
          <w:szCs w:val="18"/>
        </w:rPr>
        <w:t>litigio</w:t>
      </w:r>
      <w:proofErr w:type="spellEnd"/>
      <w:r w:rsidRPr="00E44E10">
        <w:rPr>
          <w:i/>
          <w:sz w:val="18"/>
          <w:szCs w:val="18"/>
        </w:rPr>
        <w:t xml:space="preserve"> de </w:t>
      </w:r>
      <w:proofErr w:type="spellStart"/>
      <w:r w:rsidRPr="00E44E10">
        <w:rPr>
          <w:i/>
          <w:sz w:val="18"/>
          <w:szCs w:val="18"/>
        </w:rPr>
        <w:t>casos</w:t>
      </w:r>
      <w:proofErr w:type="spellEnd"/>
      <w:r w:rsidRPr="00E44E10">
        <w:rPr>
          <w:i/>
          <w:sz w:val="18"/>
          <w:szCs w:val="18"/>
        </w:rPr>
        <w:t xml:space="preserve"> de </w:t>
      </w:r>
      <w:proofErr w:type="spellStart"/>
      <w:r w:rsidRPr="00E44E10">
        <w:rPr>
          <w:i/>
          <w:sz w:val="18"/>
          <w:szCs w:val="18"/>
        </w:rPr>
        <w:t>muertes</w:t>
      </w:r>
      <w:proofErr w:type="spellEnd"/>
      <w:r w:rsidRPr="00E44E10">
        <w:rPr>
          <w:i/>
          <w:sz w:val="18"/>
          <w:szCs w:val="18"/>
        </w:rPr>
        <w:t xml:space="preserve"> </w:t>
      </w:r>
      <w:proofErr w:type="spellStart"/>
      <w:r w:rsidRPr="00E44E10">
        <w:rPr>
          <w:i/>
          <w:sz w:val="18"/>
          <w:szCs w:val="18"/>
        </w:rPr>
        <w:t>violentas</w:t>
      </w:r>
      <w:proofErr w:type="spellEnd"/>
      <w:r w:rsidRPr="00E44E10">
        <w:rPr>
          <w:i/>
          <w:sz w:val="18"/>
          <w:szCs w:val="18"/>
        </w:rPr>
        <w:t xml:space="preserve"> de </w:t>
      </w:r>
      <w:proofErr w:type="spellStart"/>
      <w:r w:rsidRPr="00E44E10">
        <w:rPr>
          <w:i/>
          <w:sz w:val="18"/>
          <w:szCs w:val="18"/>
        </w:rPr>
        <w:t>mujeres</w:t>
      </w:r>
      <w:proofErr w:type="spellEnd"/>
      <w:r w:rsidRPr="00E44E10">
        <w:rPr>
          <w:i/>
          <w:sz w:val="18"/>
          <w:szCs w:val="18"/>
        </w:rPr>
        <w:t xml:space="preserve"> (</w:t>
      </w:r>
      <w:proofErr w:type="spellStart"/>
      <w:r w:rsidRPr="00E44E10">
        <w:rPr>
          <w:i/>
          <w:sz w:val="18"/>
          <w:szCs w:val="18"/>
        </w:rPr>
        <w:t>femicidios</w:t>
      </w:r>
      <w:proofErr w:type="spellEnd"/>
      <w:r w:rsidRPr="00E44E10">
        <w:rPr>
          <w:i/>
          <w:sz w:val="18"/>
          <w:szCs w:val="18"/>
        </w:rPr>
        <w:t xml:space="preserve">) (2018) </w:t>
      </w:r>
      <w:r w:rsidRPr="00E44E10">
        <w:rPr>
          <w:sz w:val="18"/>
          <w:szCs w:val="18"/>
        </w:rPr>
        <w:t>[Argentina] (including specific provisions on women with disabilities at 22, 61, 68, and 73).</w:t>
      </w:r>
    </w:p>
  </w:endnote>
  <w:endnote w:id="19">
    <w:p w14:paraId="7B477B39" w14:textId="15282B7F"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3F5415">
        <w:rPr>
          <w:sz w:val="18"/>
          <w:szCs w:val="18"/>
        </w:rPr>
        <w:t xml:space="preserve">Organization of American States, </w:t>
      </w:r>
      <w:r w:rsidRPr="003F5415">
        <w:rPr>
          <w:i/>
          <w:sz w:val="18"/>
          <w:szCs w:val="18"/>
        </w:rPr>
        <w:t>Inter-American Model Law on the Prevention, Punishment, and Eradication of Violence Against Women in Political Life</w:t>
      </w:r>
      <w:r w:rsidRPr="00CB5B5F">
        <w:rPr>
          <w:sz w:val="18"/>
          <w:szCs w:val="18"/>
        </w:rPr>
        <w:t>, Art. 6</w:t>
      </w:r>
      <w:r w:rsidR="00CB5B5F" w:rsidRPr="00CB5B5F">
        <w:rPr>
          <w:sz w:val="18"/>
          <w:szCs w:val="18"/>
        </w:rPr>
        <w:t>(</w:t>
      </w:r>
      <w:r w:rsidRPr="00CB5B5F">
        <w:rPr>
          <w:sz w:val="18"/>
          <w:szCs w:val="18"/>
        </w:rPr>
        <w:t>a)</w:t>
      </w:r>
      <w:r w:rsidR="003F5415">
        <w:rPr>
          <w:sz w:val="18"/>
          <w:szCs w:val="18"/>
        </w:rPr>
        <w:t xml:space="preserve"> (2017)</w:t>
      </w:r>
      <w:r w:rsidRPr="00CB5B5F">
        <w:rPr>
          <w:sz w:val="18"/>
          <w:szCs w:val="18"/>
        </w:rPr>
        <w:t xml:space="preserve">, available at </w:t>
      </w:r>
      <w:r w:rsidRPr="00CB5B5F">
        <w:rPr>
          <w:rStyle w:val="Hyperlink"/>
          <w:sz w:val="18"/>
          <w:szCs w:val="18"/>
        </w:rPr>
        <w:t>http://www.oas.org/es/mesecvi/docs/LeyModeloViolenciaPolitica-EN.pdf</w:t>
      </w:r>
      <w:r w:rsidR="00CB5B5F" w:rsidRPr="00CB5B5F">
        <w:rPr>
          <w:sz w:val="18"/>
          <w:szCs w:val="18"/>
        </w:rPr>
        <w:t>.</w:t>
      </w:r>
    </w:p>
  </w:endnote>
  <w:endnote w:id="20">
    <w:p w14:paraId="23C800F0" w14:textId="15F26F55"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00CB5B5F" w:rsidRPr="00CB5B5F">
        <w:rPr>
          <w:i/>
          <w:sz w:val="18"/>
          <w:szCs w:val="18"/>
        </w:rPr>
        <w:t>.</w:t>
      </w:r>
      <w:r w:rsidR="00CB5B5F" w:rsidRPr="00CB5B5F">
        <w:rPr>
          <w:sz w:val="18"/>
          <w:szCs w:val="18"/>
        </w:rPr>
        <w:t xml:space="preserve">, </w:t>
      </w:r>
      <w:r w:rsidRPr="00CB5B5F">
        <w:rPr>
          <w:sz w:val="18"/>
          <w:szCs w:val="18"/>
        </w:rPr>
        <w:t xml:space="preserve">Art. 9. </w:t>
      </w:r>
    </w:p>
  </w:endnote>
  <w:endnote w:id="21">
    <w:p w14:paraId="09D3CAE2" w14:textId="10A5C694"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Pr="00CB5B5F">
        <w:rPr>
          <w:sz w:val="18"/>
          <w:szCs w:val="18"/>
        </w:rPr>
        <w:t xml:space="preserve">., Art. 15, </w:t>
      </w:r>
      <w:r w:rsidR="00CB5B5F" w:rsidRPr="00CB5B5F">
        <w:rPr>
          <w:sz w:val="18"/>
          <w:szCs w:val="18"/>
        </w:rPr>
        <w:t>(</w:t>
      </w:r>
      <w:proofErr w:type="spellStart"/>
      <w:r w:rsidRPr="00CB5B5F">
        <w:rPr>
          <w:sz w:val="18"/>
          <w:szCs w:val="18"/>
        </w:rPr>
        <w:t>i</w:t>
      </w:r>
      <w:proofErr w:type="spellEnd"/>
      <w:r w:rsidRPr="00CB5B5F">
        <w:rPr>
          <w:sz w:val="18"/>
          <w:szCs w:val="18"/>
        </w:rPr>
        <w:t>).</w:t>
      </w:r>
    </w:p>
  </w:endnote>
  <w:endnote w:id="22">
    <w:p w14:paraId="1D943FAD"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mallCaps/>
          <w:sz w:val="18"/>
          <w:szCs w:val="18"/>
        </w:rPr>
        <w:t xml:space="preserve"> </w:t>
      </w:r>
      <w:r w:rsidRPr="00CB5B5F">
        <w:rPr>
          <w:i/>
          <w:iCs/>
          <w:sz w:val="18"/>
          <w:szCs w:val="18"/>
        </w:rPr>
        <w:t>See</w:t>
      </w:r>
      <w:r w:rsidRPr="00CB5B5F">
        <w:rPr>
          <w:i/>
          <w:smallCaps/>
          <w:sz w:val="18"/>
          <w:szCs w:val="18"/>
        </w:rPr>
        <w:t xml:space="preserve"> </w:t>
      </w:r>
      <w:r w:rsidRPr="00CB5B5F">
        <w:rPr>
          <w:smallCaps/>
          <w:sz w:val="18"/>
          <w:szCs w:val="18"/>
        </w:rPr>
        <w:t>WHO and World Bank</w:t>
      </w:r>
      <w:r w:rsidRPr="00CB5B5F">
        <w:rPr>
          <w:sz w:val="18"/>
          <w:szCs w:val="18"/>
        </w:rPr>
        <w:t xml:space="preserve">, </w:t>
      </w:r>
      <w:r w:rsidRPr="00CB5B5F">
        <w:rPr>
          <w:smallCaps/>
          <w:sz w:val="18"/>
          <w:szCs w:val="18"/>
        </w:rPr>
        <w:t xml:space="preserve">World Report on Disability </w:t>
      </w:r>
      <w:r w:rsidRPr="00CB5B5F">
        <w:rPr>
          <w:sz w:val="18"/>
          <w:szCs w:val="18"/>
        </w:rPr>
        <w:t xml:space="preserve">26-27 (2011); </w:t>
      </w:r>
      <w:r w:rsidRPr="00CB5B5F">
        <w:rPr>
          <w:i/>
          <w:sz w:val="18"/>
          <w:szCs w:val="18"/>
        </w:rPr>
        <w:t xml:space="preserve">see also </w:t>
      </w:r>
      <w:r w:rsidRPr="00CB5B5F">
        <w:rPr>
          <w:sz w:val="18"/>
          <w:szCs w:val="18"/>
        </w:rPr>
        <w:t>Washington Group on Disability Statistics, http://www.washingtongroup-disability.com/.</w:t>
      </w:r>
    </w:p>
  </w:endnote>
  <w:endnote w:id="23">
    <w:p w14:paraId="5B5B9501"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 xml:space="preserve">See </w:t>
      </w:r>
      <w:r w:rsidRPr="00CB5B5F">
        <w:rPr>
          <w:sz w:val="18"/>
          <w:szCs w:val="18"/>
        </w:rPr>
        <w:t xml:space="preserve">Washington Group on Disability Statistics, </w:t>
      </w:r>
      <w:r w:rsidRPr="00CB5B5F">
        <w:rPr>
          <w:i/>
          <w:sz w:val="18"/>
          <w:szCs w:val="18"/>
        </w:rPr>
        <w:t>Resources: Journal Articles</w:t>
      </w:r>
      <w:r w:rsidRPr="00CB5B5F">
        <w:rPr>
          <w:sz w:val="18"/>
          <w:szCs w:val="18"/>
        </w:rPr>
        <w:t>, http://www.washingtongroup-disability.com/publications/journal-articles/.</w:t>
      </w:r>
    </w:p>
  </w:endnote>
  <w:endnote w:id="24">
    <w:p w14:paraId="45C60ADE" w14:textId="42BFE62B" w:rsidR="004B52C6" w:rsidRPr="00CB5B5F" w:rsidRDefault="004B52C6">
      <w:pPr>
        <w:pStyle w:val="EndnoteText"/>
        <w:rPr>
          <w:sz w:val="18"/>
          <w:szCs w:val="18"/>
        </w:rPr>
      </w:pPr>
      <w:r w:rsidRPr="00CB5B5F">
        <w:rPr>
          <w:rStyle w:val="EndnoteReference"/>
          <w:sz w:val="18"/>
          <w:szCs w:val="18"/>
        </w:rPr>
        <w:endnoteRef/>
      </w:r>
      <w:r w:rsidRPr="00CB5B5F">
        <w:rPr>
          <w:sz w:val="18"/>
          <w:szCs w:val="18"/>
        </w:rPr>
        <w:t xml:space="preserve"> </w:t>
      </w:r>
      <w:r w:rsidR="00E90A23" w:rsidRPr="00CB5B5F">
        <w:rPr>
          <w:sz w:val="18"/>
          <w:szCs w:val="18"/>
        </w:rPr>
        <w:t>SRVAW</w:t>
      </w:r>
      <w:r w:rsidRPr="00CB5B5F">
        <w:rPr>
          <w:sz w:val="18"/>
          <w:szCs w:val="18"/>
        </w:rPr>
        <w:t>,</w:t>
      </w:r>
      <w:r w:rsidR="00E90A23" w:rsidRPr="00CB5B5F">
        <w:rPr>
          <w:sz w:val="18"/>
          <w:szCs w:val="18"/>
        </w:rPr>
        <w:t xml:space="preserve"> </w:t>
      </w:r>
      <w:r w:rsidR="00E90A23" w:rsidRPr="00CB5B5F">
        <w:rPr>
          <w:i/>
          <w:sz w:val="18"/>
          <w:szCs w:val="18"/>
        </w:rPr>
        <w:t>Report on femicide</w:t>
      </w:r>
      <w:r w:rsidR="00CB5B5F">
        <w:rPr>
          <w:sz w:val="18"/>
          <w:szCs w:val="18"/>
        </w:rPr>
        <w:t>,</w:t>
      </w:r>
      <w:r w:rsidRPr="00CB5B5F">
        <w:rPr>
          <w:sz w:val="18"/>
          <w:szCs w:val="18"/>
        </w:rPr>
        <w:t xml:space="preserve"> </w:t>
      </w:r>
      <w:r w:rsidRPr="00CB5B5F">
        <w:rPr>
          <w:i/>
          <w:sz w:val="18"/>
          <w:szCs w:val="18"/>
        </w:rPr>
        <w:t>supra</w:t>
      </w:r>
      <w:r w:rsidRPr="00CB5B5F">
        <w:rPr>
          <w:sz w:val="18"/>
          <w:szCs w:val="18"/>
        </w:rPr>
        <w:t xml:space="preserve"> note 4, </w:t>
      </w:r>
      <w:r w:rsidRPr="00CB5B5F">
        <w:rPr>
          <w:color w:val="000000"/>
          <w:sz w:val="18"/>
          <w:szCs w:val="18"/>
        </w:rPr>
        <w:t>¶ 26.</w:t>
      </w:r>
    </w:p>
  </w:endnote>
  <w:endnote w:id="25">
    <w:p w14:paraId="1D9569E3" w14:textId="7DFE8CB8"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E90A23" w:rsidRPr="00CB5B5F">
        <w:rPr>
          <w:sz w:val="18"/>
          <w:szCs w:val="18"/>
        </w:rPr>
        <w:t xml:space="preserve">SRVAW, </w:t>
      </w:r>
      <w:r w:rsidR="00E90A23" w:rsidRPr="00CB5B5F">
        <w:rPr>
          <w:i/>
          <w:sz w:val="18"/>
          <w:szCs w:val="18"/>
        </w:rPr>
        <w:t>Report on women with disabilities</w:t>
      </w:r>
      <w:r w:rsidR="00E90A23" w:rsidRPr="00CB5B5F">
        <w:rPr>
          <w:sz w:val="18"/>
          <w:szCs w:val="18"/>
        </w:rPr>
        <w:t>,</w:t>
      </w:r>
      <w:r w:rsidR="00E90A23" w:rsidRPr="00CB5B5F">
        <w:rPr>
          <w:i/>
          <w:sz w:val="18"/>
          <w:szCs w:val="18"/>
        </w:rPr>
        <w:t xml:space="preserve"> supra </w:t>
      </w:r>
      <w:r w:rsidR="00E90A23" w:rsidRPr="00CB5B5F">
        <w:rPr>
          <w:sz w:val="18"/>
          <w:szCs w:val="18"/>
        </w:rPr>
        <w:t>note 3,</w:t>
      </w:r>
      <w:r w:rsidR="00E90A23" w:rsidRPr="00CB5B5F">
        <w:rPr>
          <w:i/>
          <w:sz w:val="18"/>
          <w:szCs w:val="18"/>
        </w:rPr>
        <w:t xml:space="preserve"> </w:t>
      </w:r>
      <w:r w:rsidRPr="00CB5B5F">
        <w:rPr>
          <w:b/>
          <w:color w:val="000000"/>
          <w:sz w:val="18"/>
          <w:szCs w:val="18"/>
        </w:rPr>
        <w:t>¶</w:t>
      </w:r>
      <w:r w:rsidRPr="00CB5B5F">
        <w:rPr>
          <w:sz w:val="18"/>
          <w:szCs w:val="18"/>
        </w:rPr>
        <w:t xml:space="preserve"> 31.</w:t>
      </w:r>
    </w:p>
  </w:endnote>
  <w:endnote w:id="26">
    <w:p w14:paraId="080BEABB" w14:textId="77777777" w:rsidR="00C31D64" w:rsidRPr="00CB5B5F" w:rsidRDefault="00C31D64" w:rsidP="00DD5F65">
      <w:pPr>
        <w:pStyle w:val="EndnoteText"/>
        <w:rPr>
          <w:i/>
          <w:sz w:val="18"/>
          <w:szCs w:val="18"/>
        </w:rPr>
      </w:pPr>
      <w:r w:rsidRPr="00CB5B5F">
        <w:rPr>
          <w:rStyle w:val="EndnoteReference"/>
          <w:sz w:val="18"/>
          <w:szCs w:val="18"/>
        </w:rPr>
        <w:endnoteRef/>
      </w:r>
      <w:r w:rsidRPr="00CB5B5F">
        <w:rPr>
          <w:sz w:val="18"/>
          <w:szCs w:val="18"/>
        </w:rPr>
        <w:t xml:space="preserve"> WHO and United Nations Population Fund, </w:t>
      </w:r>
      <w:r w:rsidRPr="00CB5B5F">
        <w:rPr>
          <w:i/>
          <w:sz w:val="18"/>
          <w:szCs w:val="18"/>
        </w:rPr>
        <w:t xml:space="preserve">Promoting sexual and reproductive health for Persons with Disabilities: World Health Organization/United Nations Population Fund Guidance Note </w:t>
      </w:r>
      <w:r w:rsidRPr="00CB5B5F">
        <w:rPr>
          <w:sz w:val="18"/>
          <w:szCs w:val="18"/>
        </w:rPr>
        <w:t>(2009).</w:t>
      </w:r>
    </w:p>
  </w:endnote>
  <w:endnote w:id="27">
    <w:p w14:paraId="4C38C36D"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color w:val="000000" w:themeColor="text1"/>
          <w:sz w:val="18"/>
          <w:szCs w:val="18"/>
        </w:rPr>
        <w:t xml:space="preserve">Gill Hague, Ravi </w:t>
      </w:r>
      <w:proofErr w:type="spellStart"/>
      <w:r w:rsidRPr="00CB5B5F">
        <w:rPr>
          <w:color w:val="000000" w:themeColor="text1"/>
          <w:sz w:val="18"/>
          <w:szCs w:val="18"/>
        </w:rPr>
        <w:t>Thiara</w:t>
      </w:r>
      <w:proofErr w:type="spellEnd"/>
      <w:r w:rsidRPr="00CB5B5F">
        <w:rPr>
          <w:color w:val="000000" w:themeColor="text1"/>
          <w:sz w:val="18"/>
          <w:szCs w:val="18"/>
        </w:rPr>
        <w:t xml:space="preserve">, Pauline Magowan, and Audrey </w:t>
      </w:r>
      <w:proofErr w:type="spellStart"/>
      <w:r w:rsidRPr="00CB5B5F">
        <w:rPr>
          <w:color w:val="000000" w:themeColor="text1"/>
          <w:sz w:val="18"/>
          <w:szCs w:val="18"/>
        </w:rPr>
        <w:t>Mullender</w:t>
      </w:r>
      <w:proofErr w:type="spellEnd"/>
      <w:r w:rsidRPr="00CB5B5F">
        <w:rPr>
          <w:color w:val="000000" w:themeColor="text1"/>
          <w:sz w:val="18"/>
          <w:szCs w:val="18"/>
        </w:rPr>
        <w:t xml:space="preserve">, </w:t>
      </w:r>
      <w:r w:rsidRPr="00CB5B5F">
        <w:rPr>
          <w:i/>
          <w:color w:val="000000" w:themeColor="text1"/>
          <w:sz w:val="18"/>
          <w:szCs w:val="18"/>
        </w:rPr>
        <w:t xml:space="preserve">Making the Links: Disabled Women and Domestic Violence </w:t>
      </w:r>
      <w:r w:rsidRPr="00CB5B5F">
        <w:rPr>
          <w:color w:val="000000" w:themeColor="text1"/>
          <w:sz w:val="18"/>
          <w:szCs w:val="18"/>
        </w:rPr>
        <w:t xml:space="preserve">33, 42 (2007), </w:t>
      </w:r>
      <w:r w:rsidRPr="00CB5B5F">
        <w:rPr>
          <w:i/>
          <w:color w:val="000000" w:themeColor="text1"/>
          <w:sz w:val="18"/>
          <w:szCs w:val="18"/>
        </w:rPr>
        <w:t xml:space="preserve">available at </w:t>
      </w:r>
      <w:r w:rsidRPr="00CB5B5F">
        <w:rPr>
          <w:color w:val="000000" w:themeColor="text1"/>
          <w:sz w:val="18"/>
          <w:szCs w:val="18"/>
        </w:rPr>
        <w:t>http://wwda.org.au/wp-content/uploads/2013/12/hague1.pdf (joint project conducted by Women’s Aid, the Gender and Violence Research Group at the University of Bristol, and the Centre for the Study of Safety and Well-being at the University of Warwick).</w:t>
      </w:r>
    </w:p>
  </w:endnote>
  <w:endnote w:id="28">
    <w:p w14:paraId="38AE0EFB"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smallCaps/>
          <w:sz w:val="18"/>
          <w:szCs w:val="18"/>
        </w:rPr>
        <w:t>Public Health England</w:t>
      </w:r>
      <w:r w:rsidRPr="00CB5B5F">
        <w:rPr>
          <w:sz w:val="18"/>
          <w:szCs w:val="18"/>
        </w:rPr>
        <w:t xml:space="preserve">, </w:t>
      </w:r>
      <w:r w:rsidRPr="00CB5B5F">
        <w:rPr>
          <w:smallCaps/>
          <w:sz w:val="18"/>
          <w:szCs w:val="18"/>
        </w:rPr>
        <w:t>Disability and domestic abuse: Risk, impacts and response</w:t>
      </w:r>
      <w:r w:rsidRPr="00CB5B5F">
        <w:rPr>
          <w:sz w:val="18"/>
          <w:szCs w:val="18"/>
        </w:rPr>
        <w:t xml:space="preserve"> 9 (2015), </w:t>
      </w:r>
      <w:r w:rsidRPr="00CB5B5F">
        <w:rPr>
          <w:i/>
          <w:sz w:val="18"/>
          <w:szCs w:val="18"/>
        </w:rPr>
        <w:t>available at</w:t>
      </w:r>
      <w:r w:rsidRPr="00CB5B5F">
        <w:rPr>
          <w:sz w:val="18"/>
          <w:szCs w:val="18"/>
        </w:rPr>
        <w:t xml:space="preserve"> https://www.gov.uk/government/uploads/system/uploads/attachment_data/file/480942/Disability_and_domestic</w:t>
      </w:r>
    </w:p>
    <w:p w14:paraId="0881799F" w14:textId="77777777" w:rsidR="00C31D64" w:rsidRPr="00CB5B5F" w:rsidRDefault="00C31D64" w:rsidP="00DD5F65">
      <w:pPr>
        <w:pStyle w:val="EndnoteText"/>
        <w:rPr>
          <w:sz w:val="18"/>
          <w:szCs w:val="18"/>
        </w:rPr>
      </w:pPr>
      <w:r w:rsidRPr="00CB5B5F">
        <w:rPr>
          <w:sz w:val="18"/>
          <w:szCs w:val="18"/>
        </w:rPr>
        <w:t xml:space="preserve">_abuse_topic_overview_FINAL.pdf. </w:t>
      </w:r>
    </w:p>
  </w:endnote>
  <w:endnote w:id="29">
    <w:p w14:paraId="4AFC67EB" w14:textId="4057C5C1"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EA41C8">
        <w:rPr>
          <w:i/>
          <w:sz w:val="18"/>
          <w:szCs w:val="18"/>
        </w:rPr>
        <w:t xml:space="preserve">Id. </w:t>
      </w:r>
      <w:r w:rsidR="00EA41C8">
        <w:rPr>
          <w:sz w:val="18"/>
          <w:szCs w:val="18"/>
        </w:rPr>
        <w:t xml:space="preserve">at </w:t>
      </w:r>
      <w:r w:rsidRPr="00CB5B5F">
        <w:rPr>
          <w:sz w:val="18"/>
          <w:szCs w:val="18"/>
        </w:rPr>
        <w:t>11</w:t>
      </w:r>
      <w:r w:rsidR="00EA41C8">
        <w:rPr>
          <w:sz w:val="18"/>
          <w:szCs w:val="18"/>
        </w:rPr>
        <w:t>.</w:t>
      </w:r>
    </w:p>
  </w:endnote>
  <w:endnote w:id="30">
    <w:p w14:paraId="6A237258"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Nayreen Daruwala, et al, </w:t>
      </w:r>
      <w:r w:rsidRPr="00CB5B5F">
        <w:rPr>
          <w:i/>
          <w:sz w:val="18"/>
          <w:szCs w:val="18"/>
        </w:rPr>
        <w:t xml:space="preserve">Violence against Women with a Disability in Mumbai, India: A Qualitative Study </w:t>
      </w:r>
      <w:r w:rsidRPr="00CB5B5F">
        <w:rPr>
          <w:sz w:val="18"/>
          <w:szCs w:val="18"/>
        </w:rPr>
        <w:t xml:space="preserve">in </w:t>
      </w:r>
      <w:r w:rsidRPr="00CB5B5F">
        <w:rPr>
          <w:smallCaps/>
          <w:sz w:val="18"/>
          <w:szCs w:val="18"/>
        </w:rPr>
        <w:t>Sage Open</w:t>
      </w:r>
      <w:r w:rsidRPr="00CB5B5F">
        <w:rPr>
          <w:sz w:val="18"/>
          <w:szCs w:val="18"/>
        </w:rPr>
        <w:t xml:space="preserve"> 3-5 (2013).</w:t>
      </w:r>
    </w:p>
  </w:endnote>
  <w:endnote w:id="31">
    <w:p w14:paraId="649E8833" w14:textId="024A5023"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CREA, </w:t>
      </w:r>
      <w:r w:rsidRPr="00CB5B5F">
        <w:rPr>
          <w:i/>
          <w:sz w:val="18"/>
          <w:szCs w:val="18"/>
        </w:rPr>
        <w:t>count me IN!: Violence against disabled, lesbian, in sex-working women in Bangladesh, India, and Nepal</w:t>
      </w:r>
      <w:r w:rsidRPr="00CB5B5F">
        <w:rPr>
          <w:sz w:val="18"/>
          <w:szCs w:val="18"/>
        </w:rPr>
        <w:t xml:space="preserve"> 65 (2012), </w:t>
      </w:r>
      <w:r w:rsidRPr="00CB5B5F">
        <w:rPr>
          <w:i/>
          <w:sz w:val="18"/>
          <w:szCs w:val="18"/>
        </w:rPr>
        <w:t>available at</w:t>
      </w:r>
      <w:r w:rsidRPr="00CB5B5F">
        <w:rPr>
          <w:sz w:val="18"/>
          <w:szCs w:val="18"/>
        </w:rPr>
        <w:t xml:space="preserve"> http://www.creaworld.org/sites/default/files/The%20Count%20Me%20In!%20Research%20Report.pdf.</w:t>
      </w:r>
    </w:p>
  </w:endnote>
  <w:endnote w:id="32">
    <w:p w14:paraId="30DBF61A"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Nayreen Daruwala, et al, </w:t>
      </w:r>
      <w:r w:rsidRPr="00CB5B5F">
        <w:rPr>
          <w:i/>
          <w:sz w:val="18"/>
          <w:szCs w:val="18"/>
        </w:rPr>
        <w:t xml:space="preserve">Violence against Women with a Disability in Mumbai, India: A Qualitative Study </w:t>
      </w:r>
      <w:r w:rsidRPr="00CB5B5F">
        <w:rPr>
          <w:sz w:val="18"/>
          <w:szCs w:val="18"/>
        </w:rPr>
        <w:t xml:space="preserve">in </w:t>
      </w:r>
      <w:r w:rsidRPr="00CB5B5F">
        <w:rPr>
          <w:smallCaps/>
          <w:sz w:val="18"/>
          <w:szCs w:val="18"/>
        </w:rPr>
        <w:t>Sage Open</w:t>
      </w:r>
      <w:r w:rsidRPr="00CB5B5F">
        <w:rPr>
          <w:sz w:val="18"/>
          <w:szCs w:val="18"/>
        </w:rPr>
        <w:t xml:space="preserve"> 4-5 (2013).</w:t>
      </w:r>
    </w:p>
  </w:endnote>
  <w:endnote w:id="33">
    <w:p w14:paraId="017D1AAA" w14:textId="648B22FD"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EA41C8" w:rsidRPr="00CB5B5F">
        <w:rPr>
          <w:sz w:val="18"/>
          <w:szCs w:val="18"/>
        </w:rPr>
        <w:t xml:space="preserve">CREA, </w:t>
      </w:r>
      <w:r w:rsidR="00EA41C8" w:rsidRPr="00CB5B5F">
        <w:rPr>
          <w:i/>
          <w:sz w:val="18"/>
          <w:szCs w:val="18"/>
        </w:rPr>
        <w:t>count me IN!: Violence against disabled, lesbian, in sex-working women in Bangladesh, India, and Nepal</w:t>
      </w:r>
      <w:r w:rsidR="00EA41C8" w:rsidRPr="00CB5B5F">
        <w:rPr>
          <w:sz w:val="18"/>
          <w:szCs w:val="18"/>
        </w:rPr>
        <w:t xml:space="preserve"> 65 (2012), </w:t>
      </w:r>
      <w:r w:rsidR="00EA41C8" w:rsidRPr="00CB5B5F">
        <w:rPr>
          <w:i/>
          <w:sz w:val="18"/>
          <w:szCs w:val="18"/>
        </w:rPr>
        <w:t>available at</w:t>
      </w:r>
      <w:r w:rsidR="00EA41C8" w:rsidRPr="00CB5B5F">
        <w:rPr>
          <w:sz w:val="18"/>
          <w:szCs w:val="18"/>
        </w:rPr>
        <w:t xml:space="preserve"> http://www.creaworld.org/sites/default/files/The%20Count%20Me%20In!%20Research%20Report.pdf.</w:t>
      </w:r>
    </w:p>
  </w:endnote>
  <w:endnote w:id="34">
    <w:p w14:paraId="2F432FD7" w14:textId="453AB9D3" w:rsidR="00C31D64" w:rsidRPr="00E44E10" w:rsidRDefault="00C31D64" w:rsidP="00DD5F65">
      <w:pPr>
        <w:pStyle w:val="EndnoteText"/>
        <w:rPr>
          <w:sz w:val="18"/>
          <w:szCs w:val="18"/>
          <w:lang w:val="es-ES"/>
        </w:rPr>
      </w:pPr>
      <w:r w:rsidRPr="00CB5B5F">
        <w:rPr>
          <w:rStyle w:val="EndnoteReference"/>
          <w:sz w:val="18"/>
          <w:szCs w:val="18"/>
        </w:rPr>
        <w:endnoteRef/>
      </w:r>
      <w:r w:rsidRPr="00E44E10">
        <w:rPr>
          <w:sz w:val="18"/>
          <w:szCs w:val="18"/>
          <w:lang w:val="es-ES"/>
        </w:rPr>
        <w:t xml:space="preserve"> </w:t>
      </w:r>
      <w:r w:rsidR="00EA41C8" w:rsidRPr="00E44E10">
        <w:rPr>
          <w:i/>
          <w:sz w:val="18"/>
          <w:szCs w:val="18"/>
          <w:lang w:val="es-ES"/>
        </w:rPr>
        <w:t>See</w:t>
      </w:r>
      <w:r w:rsidR="00EA41C8" w:rsidRPr="00E44E10">
        <w:rPr>
          <w:sz w:val="18"/>
          <w:szCs w:val="18"/>
          <w:lang w:val="es-ES"/>
        </w:rPr>
        <w:t xml:space="preserve"> Annex A [Fundación Paso a Paso, </w:t>
      </w:r>
      <w:r w:rsidR="00EA41C8" w:rsidRPr="00E44E10">
        <w:rPr>
          <w:i/>
          <w:sz w:val="18"/>
          <w:szCs w:val="18"/>
          <w:lang w:val="es-ES"/>
        </w:rPr>
        <w:t>Muestras sobre la situación de las mujeres con discapacidad</w:t>
      </w:r>
      <w:r w:rsidR="00EA41C8" w:rsidRPr="00E44E10">
        <w:rPr>
          <w:sz w:val="18"/>
          <w:szCs w:val="18"/>
          <w:lang w:val="es-ES"/>
        </w:rPr>
        <w:t xml:space="preserve"> (attached)].</w:t>
      </w:r>
    </w:p>
  </w:endnote>
  <w:endnote w:id="35">
    <w:p w14:paraId="4CF6CFAD" w14:textId="54F1509E"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Pr="00CB5B5F">
        <w:rPr>
          <w:sz w:val="18"/>
          <w:szCs w:val="18"/>
        </w:rPr>
        <w:t xml:space="preserve">. </w:t>
      </w:r>
    </w:p>
  </w:endnote>
  <w:endnote w:id="36">
    <w:p w14:paraId="5AE81C94" w14:textId="3F210F89" w:rsidR="006B5694" w:rsidRPr="006B5694" w:rsidRDefault="006B5694" w:rsidP="006B5694">
      <w:pPr>
        <w:rPr>
          <w:sz w:val="18"/>
          <w:szCs w:val="18"/>
        </w:rPr>
      </w:pPr>
      <w:r>
        <w:rPr>
          <w:rStyle w:val="EndnoteReference"/>
        </w:rPr>
        <w:endnoteRef/>
      </w:r>
      <w:r>
        <w:t xml:space="preserve"> </w:t>
      </w:r>
      <w:r w:rsidRPr="00CB5B5F">
        <w:rPr>
          <w:sz w:val="18"/>
          <w:szCs w:val="18"/>
        </w:rPr>
        <w:t xml:space="preserve">Deirdre Brennan, </w:t>
      </w:r>
      <w:r w:rsidRPr="00CB5B5F">
        <w:rPr>
          <w:i/>
          <w:sz w:val="18"/>
          <w:szCs w:val="18"/>
        </w:rPr>
        <w:t>Femicide Census - Redefining an Isolated Incident</w:t>
      </w:r>
      <w:r>
        <w:rPr>
          <w:sz w:val="18"/>
          <w:szCs w:val="18"/>
        </w:rPr>
        <w:t xml:space="preserve"> </w:t>
      </w:r>
      <w:r w:rsidRPr="00CB5B5F">
        <w:rPr>
          <w:sz w:val="18"/>
          <w:szCs w:val="18"/>
        </w:rPr>
        <w:t>23</w:t>
      </w:r>
      <w:r>
        <w:rPr>
          <w:sz w:val="18"/>
          <w:szCs w:val="18"/>
        </w:rPr>
        <w:t xml:space="preserve"> (2017)</w:t>
      </w:r>
      <w:r w:rsidRPr="00CB5B5F">
        <w:rPr>
          <w:sz w:val="18"/>
          <w:szCs w:val="18"/>
        </w:rPr>
        <w:t xml:space="preserve">, available at </w:t>
      </w:r>
      <w:r w:rsidRPr="00EA41C8">
        <w:rPr>
          <w:rStyle w:val="Hyperlink"/>
          <w:sz w:val="18"/>
          <w:szCs w:val="18"/>
        </w:rPr>
        <w:t>https://1q7dqy2unor827bqjls0c4rn-wpengine.netdna-ssl.com/wp-content/uploads/2017/01/The-Femicide-Census-Jan-2017.pdf</w:t>
      </w:r>
      <w:r>
        <w:rPr>
          <w:sz w:val="18"/>
          <w:szCs w:val="18"/>
        </w:rPr>
        <w:t>.</w:t>
      </w:r>
    </w:p>
  </w:endnote>
  <w:endnote w:id="37">
    <w:p w14:paraId="5884F056" w14:textId="65A582DE" w:rsidR="00C31D64" w:rsidRPr="00CB5B5F" w:rsidRDefault="00C31D64" w:rsidP="00DD5F65">
      <w:pPr>
        <w:rPr>
          <w:sz w:val="18"/>
          <w:szCs w:val="18"/>
        </w:rPr>
      </w:pPr>
      <w:r w:rsidRPr="00CB5B5F">
        <w:rPr>
          <w:rStyle w:val="EndnoteReference"/>
          <w:sz w:val="18"/>
          <w:szCs w:val="18"/>
        </w:rPr>
        <w:endnoteRef/>
      </w:r>
      <w:r w:rsidRPr="00CB5B5F">
        <w:rPr>
          <w:sz w:val="18"/>
          <w:szCs w:val="18"/>
        </w:rPr>
        <w:t xml:space="preserve"> </w:t>
      </w:r>
      <w:r w:rsidR="006B5694" w:rsidRPr="006B5694">
        <w:rPr>
          <w:i/>
          <w:sz w:val="18"/>
          <w:szCs w:val="18"/>
        </w:rPr>
        <w:t>Id</w:t>
      </w:r>
      <w:r w:rsidR="006B5694">
        <w:rPr>
          <w:sz w:val="18"/>
          <w:szCs w:val="18"/>
        </w:rPr>
        <w:t>.</w:t>
      </w:r>
    </w:p>
  </w:endnote>
  <w:endnote w:id="38">
    <w:p w14:paraId="6E2C9FC7" w14:textId="6365CC92" w:rsidR="00EC35E6" w:rsidRPr="00EC35E6" w:rsidRDefault="00EC35E6">
      <w:pPr>
        <w:pStyle w:val="EndnoteText"/>
        <w:rPr>
          <w:b/>
          <w:bCs/>
          <w:sz w:val="18"/>
          <w:szCs w:val="18"/>
        </w:rPr>
      </w:pPr>
      <w:r w:rsidRPr="00EC35E6">
        <w:rPr>
          <w:rStyle w:val="EndnoteReference"/>
          <w:sz w:val="18"/>
          <w:szCs w:val="18"/>
        </w:rPr>
        <w:endnoteRef/>
      </w:r>
      <w:r w:rsidRPr="00EC35E6">
        <w:rPr>
          <w:sz w:val="18"/>
          <w:szCs w:val="18"/>
        </w:rPr>
        <w:t xml:space="preserve"> </w:t>
      </w:r>
      <w:r w:rsidRPr="00EC35E6">
        <w:rPr>
          <w:i/>
          <w:sz w:val="18"/>
          <w:szCs w:val="18"/>
        </w:rPr>
        <w:t>See, e.g.</w:t>
      </w:r>
      <w:r w:rsidRPr="00EC35E6">
        <w:rPr>
          <w:sz w:val="18"/>
          <w:szCs w:val="18"/>
        </w:rPr>
        <w:t>, Anna Leach, “</w:t>
      </w:r>
      <w:r w:rsidRPr="00EC35E6">
        <w:rPr>
          <w:bCs/>
          <w:sz w:val="18"/>
          <w:szCs w:val="18"/>
        </w:rPr>
        <w:t xml:space="preserve">Murder of three deaf women in Haiti must be a starting point for change.” </w:t>
      </w:r>
      <w:r w:rsidRPr="00EC35E6">
        <w:rPr>
          <w:bCs/>
          <w:smallCaps/>
          <w:sz w:val="18"/>
          <w:szCs w:val="18"/>
        </w:rPr>
        <w:t>The Guardian</w:t>
      </w:r>
      <w:r w:rsidRPr="00EC35E6">
        <w:rPr>
          <w:bCs/>
          <w:sz w:val="18"/>
          <w:szCs w:val="18"/>
        </w:rPr>
        <w:t xml:space="preserve">, July 18, 2016, https://www.theguardian.com/global-development-professionals-network/2016/jul/18/three-deaf-women-murdered-haiti-change-disabled-people. </w:t>
      </w:r>
    </w:p>
  </w:endnote>
  <w:endnote w:id="39">
    <w:p w14:paraId="6D9BF097" w14:textId="77777777" w:rsidR="00C31D64" w:rsidRPr="00EC35E6" w:rsidRDefault="00C31D64" w:rsidP="00DD5F65">
      <w:pPr>
        <w:pStyle w:val="EndnoteText"/>
        <w:rPr>
          <w:sz w:val="18"/>
          <w:szCs w:val="18"/>
        </w:rPr>
      </w:pPr>
      <w:r w:rsidRPr="00EC35E6">
        <w:rPr>
          <w:rStyle w:val="EndnoteReference"/>
          <w:sz w:val="18"/>
          <w:szCs w:val="18"/>
        </w:rPr>
        <w:endnoteRef/>
      </w:r>
      <w:r w:rsidRPr="00EC35E6">
        <w:rPr>
          <w:sz w:val="18"/>
          <w:szCs w:val="18"/>
        </w:rPr>
        <w:t xml:space="preserve"> </w:t>
      </w:r>
      <w:r w:rsidRPr="00EC35E6">
        <w:rPr>
          <w:color w:val="000000" w:themeColor="text1"/>
          <w:sz w:val="18"/>
          <w:szCs w:val="18"/>
        </w:rPr>
        <w:t xml:space="preserve">Gill Hague, Ravi Thiara, Pauline Magowan, and Audrey Mullender, </w:t>
      </w:r>
      <w:r w:rsidRPr="00EC35E6">
        <w:rPr>
          <w:i/>
          <w:color w:val="000000" w:themeColor="text1"/>
          <w:sz w:val="18"/>
          <w:szCs w:val="18"/>
        </w:rPr>
        <w:t xml:space="preserve">Making the Links: Disabled Women and Domestic Violence </w:t>
      </w:r>
      <w:r w:rsidRPr="00EC35E6">
        <w:rPr>
          <w:color w:val="000000" w:themeColor="text1"/>
          <w:sz w:val="18"/>
          <w:szCs w:val="18"/>
        </w:rPr>
        <w:t>33, 42 (2007), available at</w:t>
      </w:r>
      <w:r w:rsidRPr="00EC35E6">
        <w:rPr>
          <w:i/>
          <w:color w:val="000000" w:themeColor="text1"/>
          <w:sz w:val="18"/>
          <w:szCs w:val="18"/>
        </w:rPr>
        <w:t xml:space="preserve"> </w:t>
      </w:r>
      <w:r w:rsidRPr="00EC35E6">
        <w:rPr>
          <w:color w:val="000000" w:themeColor="text1"/>
          <w:sz w:val="18"/>
          <w:szCs w:val="18"/>
        </w:rPr>
        <w:t>http://wwda.org.au/wp-content/uploads/2013/12/hague1.pdf.</w:t>
      </w:r>
    </w:p>
  </w:endnote>
  <w:endnote w:id="40">
    <w:p w14:paraId="1269D123" w14:textId="77777777" w:rsidR="00C31D64" w:rsidRPr="00CB5B5F" w:rsidRDefault="00C31D64" w:rsidP="00DD5F65">
      <w:pPr>
        <w:pStyle w:val="EndnoteText"/>
        <w:rPr>
          <w:sz w:val="18"/>
          <w:szCs w:val="18"/>
        </w:rPr>
      </w:pPr>
      <w:r w:rsidRPr="00EC35E6">
        <w:rPr>
          <w:rStyle w:val="EndnoteReference"/>
          <w:sz w:val="18"/>
          <w:szCs w:val="18"/>
        </w:rPr>
        <w:endnoteRef/>
      </w:r>
      <w:r w:rsidRPr="00EC35E6">
        <w:rPr>
          <w:sz w:val="18"/>
          <w:szCs w:val="18"/>
        </w:rPr>
        <w:t xml:space="preserve"> </w:t>
      </w:r>
      <w:r w:rsidRPr="00EC35E6">
        <w:rPr>
          <w:sz w:val="18"/>
          <w:szCs w:val="18"/>
          <w:lang w:val="en-GB"/>
        </w:rPr>
        <w:t>Gill Hague, Ravi Thiara and Audrey Mullender,</w:t>
      </w:r>
      <w:r w:rsidRPr="00EC35E6">
        <w:rPr>
          <w:i/>
          <w:sz w:val="18"/>
          <w:szCs w:val="18"/>
          <w:lang w:val="en-GB"/>
        </w:rPr>
        <w:t xml:space="preserve"> Disabled Women and Domestic Violence: Making the Links, a National UK Study</w:t>
      </w:r>
      <w:r w:rsidRPr="00EC35E6">
        <w:rPr>
          <w:sz w:val="18"/>
          <w:szCs w:val="18"/>
          <w:lang w:val="en-GB"/>
        </w:rPr>
        <w:t xml:space="preserve"> in 18(1) </w:t>
      </w:r>
      <w:r w:rsidRPr="00EC35E6">
        <w:rPr>
          <w:smallCaps/>
          <w:sz w:val="18"/>
          <w:szCs w:val="18"/>
          <w:lang w:val="en-GB"/>
        </w:rPr>
        <w:t>Psychiatry, Psychology and Law</w:t>
      </w:r>
      <w:r w:rsidRPr="00EC35E6">
        <w:rPr>
          <w:sz w:val="18"/>
          <w:szCs w:val="18"/>
          <w:lang w:val="en-GB"/>
        </w:rPr>
        <w:t xml:space="preserve"> </w:t>
      </w:r>
      <w:r w:rsidRPr="00CB5B5F">
        <w:rPr>
          <w:sz w:val="18"/>
          <w:szCs w:val="18"/>
          <w:lang w:val="en-GB"/>
        </w:rPr>
        <w:t>117, 124 (2010).</w:t>
      </w:r>
    </w:p>
  </w:endnote>
  <w:endnote w:id="41">
    <w:p w14:paraId="0088DDFF" w14:textId="1271D844"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See, e.g.</w:t>
      </w:r>
      <w:r w:rsidRPr="00CB5B5F">
        <w:rPr>
          <w:sz w:val="18"/>
          <w:szCs w:val="18"/>
        </w:rPr>
        <w:t xml:space="preserve"> John Baker, </w:t>
      </w:r>
      <w:r w:rsidRPr="00CB5B5F">
        <w:rPr>
          <w:i/>
          <w:sz w:val="18"/>
          <w:szCs w:val="18"/>
        </w:rPr>
        <w:t>Revealed: the shocking truth of domestic abuse against disabled women</w:t>
      </w:r>
      <w:r w:rsidRPr="00CB5B5F">
        <w:rPr>
          <w:sz w:val="18"/>
          <w:szCs w:val="18"/>
        </w:rPr>
        <w:t xml:space="preserve">, </w:t>
      </w:r>
      <w:r w:rsidRPr="00CB5B5F">
        <w:rPr>
          <w:smallCaps/>
          <w:sz w:val="18"/>
          <w:szCs w:val="18"/>
        </w:rPr>
        <w:t>Peterborough Telegraph</w:t>
      </w:r>
      <w:r w:rsidRPr="00CB5B5F">
        <w:rPr>
          <w:sz w:val="18"/>
          <w:szCs w:val="18"/>
        </w:rPr>
        <w:t xml:space="preserve">, Aug. 11, 2011, </w:t>
      </w:r>
      <w:r w:rsidRPr="00CB5B5F">
        <w:rPr>
          <w:i/>
          <w:sz w:val="18"/>
          <w:szCs w:val="18"/>
        </w:rPr>
        <w:t xml:space="preserve">available at </w:t>
      </w:r>
      <w:r w:rsidRPr="00CB5B5F">
        <w:rPr>
          <w:sz w:val="18"/>
          <w:szCs w:val="18"/>
        </w:rPr>
        <w:t>http://www.peterboroughtoday.co.uk/news/revealed-the-shocking-truth-of-domestic-abuse-of-disabled-women-1-3004746</w:t>
      </w:r>
      <w:r w:rsidR="00EA41C8">
        <w:rPr>
          <w:sz w:val="18"/>
          <w:szCs w:val="18"/>
        </w:rPr>
        <w:t>.</w:t>
      </w:r>
    </w:p>
  </w:endnote>
  <w:endnote w:id="42">
    <w:p w14:paraId="5679BAEE" w14:textId="610179CD"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5F3DEA" w:rsidRPr="00CB5B5F">
        <w:rPr>
          <w:sz w:val="18"/>
          <w:szCs w:val="18"/>
        </w:rPr>
        <w:t xml:space="preserve">CRPD Committee, </w:t>
      </w:r>
      <w:r w:rsidR="005F3DEA" w:rsidRPr="00EA41C8">
        <w:rPr>
          <w:i/>
          <w:sz w:val="18"/>
          <w:szCs w:val="18"/>
        </w:rPr>
        <w:t xml:space="preserve">General Comment No. 3: </w:t>
      </w:r>
      <w:r w:rsidR="00EA41C8">
        <w:rPr>
          <w:i/>
          <w:sz w:val="18"/>
          <w:szCs w:val="18"/>
        </w:rPr>
        <w:t xml:space="preserve">Article 6: </w:t>
      </w:r>
      <w:r w:rsidR="005F3DEA" w:rsidRPr="00EA41C8">
        <w:rPr>
          <w:i/>
          <w:sz w:val="18"/>
          <w:szCs w:val="18"/>
        </w:rPr>
        <w:t>Women and girls with disabilities</w:t>
      </w:r>
      <w:r w:rsidR="005F3DEA" w:rsidRPr="00CB5B5F">
        <w:rPr>
          <w:sz w:val="18"/>
          <w:szCs w:val="18"/>
        </w:rPr>
        <w:t>, ¶ 36, U.N. Doc. CRPD/C/GC/3 (2016).</w:t>
      </w:r>
    </w:p>
  </w:endnote>
  <w:endnote w:id="43">
    <w:p w14:paraId="17052883" w14:textId="77777777" w:rsidR="00C31D64" w:rsidRPr="00CB5B5F" w:rsidRDefault="00C31D64" w:rsidP="00DD5F65">
      <w:pPr>
        <w:rPr>
          <w:sz w:val="18"/>
          <w:szCs w:val="18"/>
        </w:rPr>
      </w:pPr>
      <w:r w:rsidRPr="00CB5B5F">
        <w:rPr>
          <w:rStyle w:val="EndnoteReference"/>
          <w:sz w:val="18"/>
          <w:szCs w:val="18"/>
        </w:rPr>
        <w:endnoteRef/>
      </w:r>
      <w:r w:rsidRPr="00CB5B5F">
        <w:rPr>
          <w:sz w:val="18"/>
          <w:szCs w:val="18"/>
        </w:rPr>
        <w:t xml:space="preserve"> OHCHR, </w:t>
      </w:r>
      <w:r w:rsidRPr="00CB5B5F">
        <w:rPr>
          <w:i/>
          <w:sz w:val="18"/>
          <w:szCs w:val="18"/>
        </w:rPr>
        <w:t>Thematic study on the issue of violence against women and girls and disability</w:t>
      </w:r>
      <w:r w:rsidRPr="00CB5B5F">
        <w:rPr>
          <w:sz w:val="18"/>
          <w:szCs w:val="18"/>
        </w:rPr>
        <w:t xml:space="preserve">, </w:t>
      </w:r>
      <w:r w:rsidRPr="00CB5B5F">
        <w:rPr>
          <w:b/>
          <w:color w:val="000000"/>
          <w:sz w:val="18"/>
          <w:szCs w:val="18"/>
        </w:rPr>
        <w:t>¶</w:t>
      </w:r>
      <w:r w:rsidRPr="00CB5B5F">
        <w:rPr>
          <w:sz w:val="18"/>
          <w:szCs w:val="18"/>
        </w:rPr>
        <w:t xml:space="preserve"> 24, U.N. Doc. A/HRC/20/5 (2012).</w:t>
      </w:r>
    </w:p>
  </w:endnote>
  <w:endnote w:id="44">
    <w:p w14:paraId="5EF59121" w14:textId="78EABBAC"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CRC Committee, </w:t>
      </w:r>
      <w:r w:rsidRPr="00CB5B5F">
        <w:rPr>
          <w:i/>
          <w:sz w:val="18"/>
          <w:szCs w:val="18"/>
        </w:rPr>
        <w:t>General Comment No. 9: Children with disabilities</w:t>
      </w:r>
      <w:r w:rsidRPr="00CB5B5F">
        <w:rPr>
          <w:sz w:val="18"/>
          <w:szCs w:val="18"/>
        </w:rPr>
        <w:t xml:space="preserve">, </w:t>
      </w:r>
      <w:r w:rsidRPr="00CB5B5F">
        <w:rPr>
          <w:b/>
          <w:color w:val="000000"/>
          <w:sz w:val="18"/>
          <w:szCs w:val="18"/>
        </w:rPr>
        <w:t>¶</w:t>
      </w:r>
      <w:r w:rsidRPr="00CB5B5F">
        <w:rPr>
          <w:sz w:val="18"/>
          <w:szCs w:val="18"/>
        </w:rPr>
        <w:t xml:space="preserve"> 31, U.N. Doc. CRC/C/GC/9 (2007).</w:t>
      </w:r>
    </w:p>
  </w:endnote>
  <w:endnote w:id="45">
    <w:p w14:paraId="76742EA0"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CEDAW and CRC Committees, </w:t>
      </w:r>
      <w:r w:rsidRPr="00CB5B5F">
        <w:rPr>
          <w:i/>
          <w:sz w:val="18"/>
          <w:szCs w:val="18"/>
        </w:rPr>
        <w:t>J</w:t>
      </w:r>
      <w:r w:rsidRPr="00CB5B5F">
        <w:rPr>
          <w:bCs/>
          <w:i/>
          <w:sz w:val="18"/>
          <w:szCs w:val="18"/>
        </w:rPr>
        <w:t>oint general recommendation No. 31 of the Committee on the Elimination of Discrimination against Women/general comment No. 18 of the Committee on the Rights of the Child on harmful practices</w:t>
      </w:r>
      <w:r w:rsidRPr="00CB5B5F">
        <w:rPr>
          <w:bCs/>
          <w:sz w:val="18"/>
          <w:szCs w:val="18"/>
        </w:rPr>
        <w:t xml:space="preserve">, </w:t>
      </w:r>
      <w:r w:rsidRPr="00CB5B5F">
        <w:rPr>
          <w:b/>
          <w:color w:val="000000"/>
          <w:sz w:val="18"/>
          <w:szCs w:val="18"/>
        </w:rPr>
        <w:t>¶</w:t>
      </w:r>
      <w:r w:rsidRPr="00CB5B5F">
        <w:rPr>
          <w:sz w:val="18"/>
          <w:szCs w:val="18"/>
        </w:rPr>
        <w:t xml:space="preserve"> 9, U.N. Doc. CEDAW/C/GC/31-CRC/C/GC/18 (2014).</w:t>
      </w:r>
    </w:p>
  </w:endnote>
  <w:endnote w:id="46">
    <w:p w14:paraId="207FC8CD" w14:textId="6C001A12" w:rsidR="00EA41C8" w:rsidRDefault="00C31D64" w:rsidP="00DD5F65">
      <w:pPr>
        <w:pStyle w:val="EndnoteText"/>
        <w:rPr>
          <w:rStyle w:val="Hyperlink"/>
          <w:sz w:val="18"/>
          <w:szCs w:val="18"/>
        </w:rPr>
      </w:pPr>
      <w:r w:rsidRPr="00CB5B5F">
        <w:rPr>
          <w:rStyle w:val="EndnoteReference"/>
          <w:sz w:val="18"/>
          <w:szCs w:val="18"/>
        </w:rPr>
        <w:endnoteRef/>
      </w:r>
      <w:r w:rsidRPr="00CB5B5F">
        <w:rPr>
          <w:sz w:val="18"/>
          <w:szCs w:val="18"/>
        </w:rPr>
        <w:t xml:space="preserve"> UNICEF</w:t>
      </w:r>
      <w:r w:rsidR="00EA41C8">
        <w:rPr>
          <w:sz w:val="18"/>
          <w:szCs w:val="18"/>
        </w:rPr>
        <w:t xml:space="preserve"> </w:t>
      </w:r>
      <w:r w:rsidRPr="00CB5B5F">
        <w:rPr>
          <w:sz w:val="18"/>
          <w:szCs w:val="18"/>
        </w:rPr>
        <w:t xml:space="preserve">Thematic Group on Violence against Disabled Children, </w:t>
      </w:r>
      <w:r w:rsidRPr="00CB5B5F">
        <w:rPr>
          <w:i/>
          <w:sz w:val="18"/>
          <w:szCs w:val="18"/>
        </w:rPr>
        <w:t xml:space="preserve">Summary Report: Violence </w:t>
      </w:r>
      <w:r w:rsidR="001208F6" w:rsidRPr="00CB5B5F">
        <w:rPr>
          <w:i/>
          <w:sz w:val="18"/>
          <w:szCs w:val="18"/>
        </w:rPr>
        <w:t>A</w:t>
      </w:r>
      <w:r w:rsidRPr="00CB5B5F">
        <w:rPr>
          <w:i/>
          <w:sz w:val="18"/>
          <w:szCs w:val="18"/>
        </w:rPr>
        <w:t>gainst Disabled Children</w:t>
      </w:r>
      <w:r w:rsidRPr="00CB5B5F">
        <w:rPr>
          <w:sz w:val="18"/>
          <w:szCs w:val="18"/>
        </w:rPr>
        <w:t xml:space="preserve"> 6 (2005), </w:t>
      </w:r>
      <w:r w:rsidRPr="00CB5B5F">
        <w:rPr>
          <w:i/>
          <w:sz w:val="18"/>
          <w:szCs w:val="18"/>
        </w:rPr>
        <w:t>available at</w:t>
      </w:r>
      <w:r w:rsidRPr="00CB5B5F">
        <w:rPr>
          <w:sz w:val="18"/>
          <w:szCs w:val="18"/>
        </w:rPr>
        <w:t xml:space="preserve"> </w:t>
      </w:r>
      <w:hyperlink r:id="rId4" w:history="1">
        <w:r w:rsidR="00EA41C8" w:rsidRPr="00590CA1">
          <w:rPr>
            <w:rStyle w:val="Hyperlink"/>
            <w:sz w:val="18"/>
            <w:szCs w:val="18"/>
          </w:rPr>
          <w:t>https://www.unicef.org/videoaudio/PDFs/UNICEF_Violence_Against_Disabled_Children_Report_</w:t>
        </w:r>
      </w:hyperlink>
    </w:p>
    <w:p w14:paraId="4F353CF1" w14:textId="7A08039E" w:rsidR="00C31D64" w:rsidRPr="00CB5B5F" w:rsidRDefault="005F3DEA" w:rsidP="00DD5F65">
      <w:pPr>
        <w:pStyle w:val="EndnoteText"/>
        <w:rPr>
          <w:sz w:val="18"/>
          <w:szCs w:val="18"/>
        </w:rPr>
      </w:pPr>
      <w:r w:rsidRPr="00EA41C8">
        <w:rPr>
          <w:rStyle w:val="Hyperlink"/>
          <w:sz w:val="18"/>
          <w:szCs w:val="18"/>
        </w:rPr>
        <w:t>Distributed_Version.pdf</w:t>
      </w:r>
      <w:r w:rsidR="00C31D64" w:rsidRPr="00CB5B5F">
        <w:rPr>
          <w:sz w:val="18"/>
          <w:szCs w:val="18"/>
        </w:rPr>
        <w:t>.</w:t>
      </w:r>
      <w:r w:rsidRPr="00CB5B5F">
        <w:rPr>
          <w:sz w:val="18"/>
          <w:szCs w:val="18"/>
        </w:rPr>
        <w:t xml:space="preserve"> </w:t>
      </w:r>
      <w:r w:rsidR="001208F6" w:rsidRPr="00CB5B5F">
        <w:rPr>
          <w:sz w:val="18"/>
          <w:szCs w:val="18"/>
        </w:rPr>
        <w:t xml:space="preserve">[hereinafter UNICEF, </w:t>
      </w:r>
      <w:r w:rsidR="001208F6" w:rsidRPr="00CB5B5F">
        <w:rPr>
          <w:i/>
          <w:sz w:val="18"/>
          <w:szCs w:val="18"/>
        </w:rPr>
        <w:t>Violence Against Disabled Children</w:t>
      </w:r>
      <w:r w:rsidR="001208F6" w:rsidRPr="00CB5B5F">
        <w:rPr>
          <w:sz w:val="18"/>
          <w:szCs w:val="18"/>
        </w:rPr>
        <w:t>].</w:t>
      </w:r>
    </w:p>
  </w:endnote>
  <w:endnote w:id="47">
    <w:p w14:paraId="486FD692" w14:textId="10040FB5"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1208F6" w:rsidRPr="00EA41C8">
        <w:rPr>
          <w:i/>
          <w:sz w:val="18"/>
          <w:szCs w:val="18"/>
        </w:rPr>
        <w:t>Id.</w:t>
      </w:r>
    </w:p>
  </w:endnote>
  <w:endnote w:id="48">
    <w:p w14:paraId="058783E5"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EA41C8">
        <w:rPr>
          <w:i/>
          <w:sz w:val="18"/>
          <w:szCs w:val="18"/>
        </w:rPr>
        <w:t>Id.</w:t>
      </w:r>
    </w:p>
  </w:endnote>
  <w:endnote w:id="49">
    <w:p w14:paraId="3ADBAE66"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EA41C8">
        <w:rPr>
          <w:i/>
          <w:sz w:val="18"/>
          <w:szCs w:val="18"/>
        </w:rPr>
        <w:t>Id.</w:t>
      </w:r>
    </w:p>
  </w:endnote>
  <w:endnote w:id="50">
    <w:p w14:paraId="18BE6077" w14:textId="0276B550"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EA41C8">
        <w:rPr>
          <w:i/>
          <w:sz w:val="18"/>
          <w:szCs w:val="18"/>
        </w:rPr>
        <w:t>Id.</w:t>
      </w:r>
      <w:r w:rsidR="00EA41C8">
        <w:rPr>
          <w:sz w:val="18"/>
          <w:szCs w:val="18"/>
        </w:rPr>
        <w:t xml:space="preserve">, </w:t>
      </w:r>
      <w:r w:rsidRPr="00CB5B5F">
        <w:rPr>
          <w:sz w:val="18"/>
          <w:szCs w:val="18"/>
        </w:rPr>
        <w:t>at 31.</w:t>
      </w:r>
    </w:p>
  </w:endnote>
  <w:endnote w:id="51">
    <w:p w14:paraId="42112EF7" w14:textId="2DDD9D8F"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Disability Rights International, </w:t>
      </w:r>
      <w:r w:rsidRPr="00CB5B5F">
        <w:rPr>
          <w:i/>
          <w:sz w:val="18"/>
          <w:szCs w:val="18"/>
        </w:rPr>
        <w:t>Infanticide and Abuse: Killing and confinement of children with disabilities in Kenya</w:t>
      </w:r>
      <w:r w:rsidRPr="00CB5B5F">
        <w:rPr>
          <w:sz w:val="18"/>
          <w:szCs w:val="18"/>
        </w:rPr>
        <w:t xml:space="preserve"> </w:t>
      </w:r>
      <w:r w:rsidR="00EA41C8">
        <w:rPr>
          <w:sz w:val="18"/>
          <w:szCs w:val="18"/>
        </w:rPr>
        <w:t xml:space="preserve">11 </w:t>
      </w:r>
      <w:r w:rsidRPr="00CB5B5F">
        <w:rPr>
          <w:sz w:val="18"/>
          <w:szCs w:val="18"/>
        </w:rPr>
        <w:t xml:space="preserve">(2018), available at </w:t>
      </w:r>
      <w:r w:rsidRPr="00EA41C8">
        <w:rPr>
          <w:rStyle w:val="Hyperlink"/>
          <w:sz w:val="18"/>
          <w:szCs w:val="18"/>
        </w:rPr>
        <w:t>https://www.driadvocacy.org/wp-content/uploads/Infanticide-and-Abuse.pdf</w:t>
      </w:r>
      <w:r w:rsidRPr="00CB5B5F">
        <w:rPr>
          <w:sz w:val="18"/>
          <w:szCs w:val="18"/>
        </w:rPr>
        <w:t xml:space="preserve"> </w:t>
      </w:r>
    </w:p>
  </w:endnote>
  <w:endnote w:id="52">
    <w:p w14:paraId="1710EEC6" w14:textId="22E24A23" w:rsidR="00C31D64" w:rsidRPr="00E44E10" w:rsidRDefault="00C31D64" w:rsidP="00DD5F65">
      <w:pPr>
        <w:pStyle w:val="EndnoteText"/>
        <w:rPr>
          <w:sz w:val="18"/>
          <w:szCs w:val="18"/>
          <w:lang w:val="es-ES"/>
        </w:rPr>
      </w:pPr>
      <w:r w:rsidRPr="00CB5B5F">
        <w:rPr>
          <w:rStyle w:val="EndnoteReference"/>
          <w:sz w:val="18"/>
          <w:szCs w:val="18"/>
        </w:rPr>
        <w:endnoteRef/>
      </w:r>
      <w:r w:rsidRPr="00E44E10">
        <w:rPr>
          <w:sz w:val="18"/>
          <w:szCs w:val="18"/>
          <w:lang w:val="es-ES"/>
        </w:rPr>
        <w:t xml:space="preserve"> </w:t>
      </w:r>
      <w:r w:rsidRPr="00E44E10">
        <w:rPr>
          <w:i/>
          <w:sz w:val="18"/>
          <w:szCs w:val="18"/>
          <w:lang w:val="es-ES"/>
        </w:rPr>
        <w:t>Id</w:t>
      </w:r>
      <w:r w:rsidRPr="00E44E10">
        <w:rPr>
          <w:sz w:val="18"/>
          <w:szCs w:val="18"/>
          <w:lang w:val="es-ES"/>
        </w:rPr>
        <w:t xml:space="preserve">. </w:t>
      </w:r>
    </w:p>
  </w:endnote>
  <w:endnote w:id="53">
    <w:p w14:paraId="0B77861C" w14:textId="711EB13E" w:rsidR="00C31D64" w:rsidRPr="00E44E10" w:rsidRDefault="00C31D64" w:rsidP="00DD5F65">
      <w:pPr>
        <w:pStyle w:val="EndnoteText"/>
        <w:rPr>
          <w:sz w:val="18"/>
          <w:szCs w:val="18"/>
          <w:lang w:val="es-ES"/>
        </w:rPr>
      </w:pPr>
      <w:r w:rsidRPr="00CB5B5F">
        <w:rPr>
          <w:rStyle w:val="EndnoteReference"/>
          <w:sz w:val="18"/>
          <w:szCs w:val="18"/>
        </w:rPr>
        <w:endnoteRef/>
      </w:r>
      <w:r w:rsidRPr="00E44E10">
        <w:rPr>
          <w:sz w:val="18"/>
          <w:szCs w:val="18"/>
          <w:lang w:val="es-ES"/>
        </w:rPr>
        <w:t xml:space="preserve"> </w:t>
      </w:r>
      <w:r w:rsidRPr="00E44E10">
        <w:rPr>
          <w:i/>
          <w:sz w:val="18"/>
          <w:szCs w:val="18"/>
          <w:lang w:val="es-ES"/>
        </w:rPr>
        <w:t>Id</w:t>
      </w:r>
      <w:r w:rsidRPr="00E44E10">
        <w:rPr>
          <w:sz w:val="18"/>
          <w:szCs w:val="18"/>
          <w:lang w:val="es-ES"/>
        </w:rPr>
        <w:t>., at 12.</w:t>
      </w:r>
    </w:p>
  </w:endnote>
  <w:endnote w:id="54">
    <w:p w14:paraId="6896717A" w14:textId="6CF83EAA" w:rsidR="001208F6" w:rsidRPr="00E44E10" w:rsidRDefault="001208F6">
      <w:pPr>
        <w:pStyle w:val="EndnoteText"/>
        <w:rPr>
          <w:sz w:val="18"/>
          <w:szCs w:val="18"/>
          <w:lang w:val="es-ES"/>
        </w:rPr>
      </w:pPr>
      <w:r w:rsidRPr="00CB5B5F">
        <w:rPr>
          <w:rStyle w:val="EndnoteReference"/>
          <w:sz w:val="18"/>
          <w:szCs w:val="18"/>
        </w:rPr>
        <w:endnoteRef/>
      </w:r>
      <w:r w:rsidRPr="00E44E10">
        <w:rPr>
          <w:sz w:val="18"/>
          <w:szCs w:val="18"/>
          <w:lang w:val="es-ES"/>
        </w:rPr>
        <w:t xml:space="preserve"> </w:t>
      </w:r>
      <w:r w:rsidR="00EA41C8" w:rsidRPr="00E44E10">
        <w:rPr>
          <w:i/>
          <w:sz w:val="18"/>
          <w:szCs w:val="18"/>
          <w:lang w:val="es-ES"/>
        </w:rPr>
        <w:t>See</w:t>
      </w:r>
      <w:r w:rsidR="00EA41C8" w:rsidRPr="00E44E10">
        <w:rPr>
          <w:sz w:val="18"/>
          <w:szCs w:val="18"/>
          <w:lang w:val="es-ES"/>
        </w:rPr>
        <w:t xml:space="preserve"> Annex A [Fundación Paso a Paso, </w:t>
      </w:r>
      <w:r w:rsidR="00EA41C8" w:rsidRPr="00E44E10">
        <w:rPr>
          <w:i/>
          <w:sz w:val="18"/>
          <w:szCs w:val="18"/>
          <w:lang w:val="es-ES"/>
        </w:rPr>
        <w:t>Muestras sobre la situación de las mujeres con discapacidad</w:t>
      </w:r>
      <w:r w:rsidR="00EA41C8" w:rsidRPr="00E44E10">
        <w:rPr>
          <w:sz w:val="18"/>
          <w:szCs w:val="18"/>
          <w:lang w:val="es-ES"/>
        </w:rPr>
        <w:t xml:space="preserve"> (attached)].</w:t>
      </w:r>
    </w:p>
  </w:endnote>
  <w:endnote w:id="55">
    <w:p w14:paraId="3FD9E03A" w14:textId="5FDC95DF" w:rsidR="001208F6" w:rsidRPr="00CB5B5F" w:rsidRDefault="001208F6">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Pr="00CB5B5F">
        <w:rPr>
          <w:sz w:val="18"/>
          <w:szCs w:val="18"/>
        </w:rPr>
        <w:t xml:space="preserve">. </w:t>
      </w:r>
    </w:p>
  </w:endnote>
  <w:endnote w:id="56">
    <w:p w14:paraId="4DFA6003" w14:textId="2637F984"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1208F6" w:rsidRPr="00CB5B5F">
        <w:rPr>
          <w:sz w:val="18"/>
          <w:szCs w:val="18"/>
        </w:rPr>
        <w:t>UNICEF</w:t>
      </w:r>
      <w:r w:rsidR="001208F6" w:rsidRPr="00CB5B5F">
        <w:rPr>
          <w:i/>
          <w:sz w:val="18"/>
          <w:szCs w:val="18"/>
        </w:rPr>
        <w:t xml:space="preserve">, Violence Against Disabled Children, supra </w:t>
      </w:r>
      <w:r w:rsidR="001208F6" w:rsidRPr="00CB5B5F">
        <w:rPr>
          <w:sz w:val="18"/>
          <w:szCs w:val="18"/>
        </w:rPr>
        <w:t xml:space="preserve">note 44, </w:t>
      </w:r>
      <w:r w:rsidR="00EA41C8">
        <w:rPr>
          <w:sz w:val="18"/>
          <w:szCs w:val="18"/>
        </w:rPr>
        <w:t xml:space="preserve">at </w:t>
      </w:r>
      <w:r w:rsidR="001208F6" w:rsidRPr="00CB5B5F">
        <w:rPr>
          <w:sz w:val="18"/>
          <w:szCs w:val="18"/>
        </w:rPr>
        <w:t>6.</w:t>
      </w:r>
    </w:p>
  </w:endnote>
  <w:endnote w:id="57">
    <w:p w14:paraId="2B3E9CFB" w14:textId="18BC774A"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EA41C8" w:rsidRPr="00CB5B5F">
        <w:rPr>
          <w:sz w:val="18"/>
          <w:szCs w:val="18"/>
        </w:rPr>
        <w:t xml:space="preserve">CRC Committee, </w:t>
      </w:r>
      <w:r w:rsidR="00EA41C8" w:rsidRPr="00CB5B5F">
        <w:rPr>
          <w:i/>
          <w:sz w:val="18"/>
          <w:szCs w:val="18"/>
        </w:rPr>
        <w:t>General Comment No. 9: Children with disabilities</w:t>
      </w:r>
      <w:r w:rsidR="00EA41C8" w:rsidRPr="00CB5B5F">
        <w:rPr>
          <w:sz w:val="18"/>
          <w:szCs w:val="18"/>
        </w:rPr>
        <w:t xml:space="preserve">, </w:t>
      </w:r>
      <w:r w:rsidR="00EA41C8" w:rsidRPr="00CB5B5F">
        <w:rPr>
          <w:b/>
          <w:color w:val="000000"/>
          <w:sz w:val="18"/>
          <w:szCs w:val="18"/>
        </w:rPr>
        <w:t>¶</w:t>
      </w:r>
      <w:r w:rsidR="00EA41C8" w:rsidRPr="00CB5B5F">
        <w:rPr>
          <w:sz w:val="18"/>
          <w:szCs w:val="18"/>
        </w:rPr>
        <w:t xml:space="preserve"> 31, U.N. Doc. CRC/C/GC/9 (2007).</w:t>
      </w:r>
    </w:p>
  </w:endnote>
  <w:endnote w:id="58">
    <w:p w14:paraId="1C19220D"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See, e.g.</w:t>
      </w:r>
      <w:r w:rsidRPr="00CB5B5F">
        <w:rPr>
          <w:sz w:val="18"/>
          <w:szCs w:val="18"/>
        </w:rPr>
        <w:t>,</w:t>
      </w:r>
      <w:r w:rsidRPr="00CB5B5F">
        <w:rPr>
          <w:i/>
          <w:sz w:val="18"/>
          <w:szCs w:val="18"/>
        </w:rPr>
        <w:t xml:space="preserve"> </w:t>
      </w:r>
      <w:r w:rsidRPr="00CB5B5F">
        <w:rPr>
          <w:sz w:val="18"/>
          <w:szCs w:val="18"/>
        </w:rPr>
        <w:t xml:space="preserve">CRC Committee, </w:t>
      </w:r>
      <w:r w:rsidRPr="00CB5B5F">
        <w:rPr>
          <w:i/>
          <w:sz w:val="18"/>
          <w:szCs w:val="18"/>
        </w:rPr>
        <w:t>Concluding Observations: China</w:t>
      </w:r>
      <w:r w:rsidRPr="00CB5B5F">
        <w:rPr>
          <w:sz w:val="18"/>
          <w:szCs w:val="18"/>
        </w:rPr>
        <w:t xml:space="preserve">, </w:t>
      </w:r>
      <w:r w:rsidRPr="00CB5B5F">
        <w:rPr>
          <w:b/>
          <w:color w:val="000000"/>
          <w:sz w:val="18"/>
          <w:szCs w:val="18"/>
        </w:rPr>
        <w:t>¶</w:t>
      </w:r>
      <w:r w:rsidRPr="00CB5B5F">
        <w:rPr>
          <w:sz w:val="18"/>
          <w:szCs w:val="18"/>
        </w:rPr>
        <w:t xml:space="preserve"> 33, U.N. Doc. CRC/C/CHN/CO/3-4 (2013); </w:t>
      </w:r>
      <w:r w:rsidRPr="00CB5B5F">
        <w:rPr>
          <w:i/>
          <w:sz w:val="18"/>
          <w:szCs w:val="18"/>
        </w:rPr>
        <w:t>Concluding Observations: Togo</w:t>
      </w:r>
      <w:r w:rsidRPr="00CB5B5F">
        <w:rPr>
          <w:sz w:val="18"/>
          <w:szCs w:val="18"/>
        </w:rPr>
        <w:t xml:space="preserve">, </w:t>
      </w:r>
      <w:r w:rsidRPr="00CB5B5F">
        <w:rPr>
          <w:b/>
          <w:color w:val="000000"/>
          <w:sz w:val="18"/>
          <w:szCs w:val="18"/>
        </w:rPr>
        <w:t>¶</w:t>
      </w:r>
      <w:r w:rsidRPr="00CB5B5F">
        <w:rPr>
          <w:sz w:val="18"/>
          <w:szCs w:val="18"/>
        </w:rPr>
        <w:t xml:space="preserve"> 51, U.N. Doc. CRC/C/TGO/CO/3-4 (2012);</w:t>
      </w:r>
      <w:r w:rsidRPr="00CB5B5F">
        <w:rPr>
          <w:i/>
          <w:sz w:val="18"/>
          <w:szCs w:val="18"/>
        </w:rPr>
        <w:t xml:space="preserve"> Concluding Observations: Benin</w:t>
      </w:r>
      <w:r w:rsidRPr="00CB5B5F">
        <w:rPr>
          <w:sz w:val="18"/>
          <w:szCs w:val="18"/>
        </w:rPr>
        <w:t xml:space="preserve">, </w:t>
      </w:r>
      <w:r w:rsidRPr="00CB5B5F">
        <w:rPr>
          <w:b/>
          <w:color w:val="000000"/>
          <w:sz w:val="18"/>
          <w:szCs w:val="18"/>
        </w:rPr>
        <w:t>¶</w:t>
      </w:r>
      <w:r w:rsidRPr="00CB5B5F">
        <w:rPr>
          <w:sz w:val="18"/>
          <w:szCs w:val="18"/>
        </w:rPr>
        <w:t xml:space="preserve"> 50, U.N. Doc. CRC/C/BEN/CO/2 (2006).</w:t>
      </w:r>
    </w:p>
  </w:endnote>
  <w:endnote w:id="59">
    <w:p w14:paraId="0B3C1089" w14:textId="11390E21" w:rsidR="00C31D64" w:rsidRPr="00CB5B5F" w:rsidRDefault="00C31D64" w:rsidP="00DD5F65">
      <w:pPr>
        <w:pStyle w:val="EndnoteText"/>
        <w:rPr>
          <w:b/>
          <w:sz w:val="18"/>
          <w:szCs w:val="18"/>
        </w:rPr>
      </w:pPr>
      <w:r w:rsidRPr="00CB5B5F">
        <w:rPr>
          <w:rStyle w:val="EndnoteReference"/>
          <w:sz w:val="18"/>
          <w:szCs w:val="18"/>
        </w:rPr>
        <w:endnoteRef/>
      </w:r>
      <w:r w:rsidRPr="00CB5B5F">
        <w:rPr>
          <w:sz w:val="18"/>
          <w:szCs w:val="18"/>
        </w:rPr>
        <w:t xml:space="preserve"> </w:t>
      </w:r>
      <w:r w:rsidRPr="00CB5B5F">
        <w:rPr>
          <w:i/>
          <w:sz w:val="18"/>
          <w:szCs w:val="18"/>
        </w:rPr>
        <w:t>See, e.g.</w:t>
      </w:r>
      <w:r w:rsidR="00EA41C8">
        <w:rPr>
          <w:sz w:val="18"/>
          <w:szCs w:val="18"/>
        </w:rPr>
        <w:t>,</w:t>
      </w:r>
      <w:r w:rsidRPr="00CB5B5F">
        <w:rPr>
          <w:i/>
          <w:sz w:val="18"/>
          <w:szCs w:val="18"/>
        </w:rPr>
        <w:t xml:space="preserve"> </w:t>
      </w:r>
      <w:r w:rsidRPr="00CB5B5F">
        <w:rPr>
          <w:sz w:val="18"/>
          <w:szCs w:val="18"/>
        </w:rPr>
        <w:t xml:space="preserve">CRC Committee, </w:t>
      </w:r>
      <w:r w:rsidRPr="00CB5B5F">
        <w:rPr>
          <w:i/>
          <w:sz w:val="18"/>
          <w:szCs w:val="18"/>
        </w:rPr>
        <w:t>Concluding Observations: India</w:t>
      </w:r>
      <w:r w:rsidRPr="00CB5B5F">
        <w:rPr>
          <w:sz w:val="18"/>
          <w:szCs w:val="18"/>
        </w:rPr>
        <w:t xml:space="preserve">, </w:t>
      </w:r>
      <w:r w:rsidRPr="00CB5B5F">
        <w:rPr>
          <w:b/>
          <w:color w:val="000000"/>
          <w:sz w:val="18"/>
          <w:szCs w:val="18"/>
        </w:rPr>
        <w:t>¶</w:t>
      </w:r>
      <w:r w:rsidRPr="00CB5B5F">
        <w:rPr>
          <w:sz w:val="18"/>
          <w:szCs w:val="18"/>
        </w:rPr>
        <w:t xml:space="preserve"> 33, U.N. Doc. CRC/C/IND/CO/3-4 (2014); </w:t>
      </w:r>
      <w:r w:rsidRPr="00CB5B5F">
        <w:rPr>
          <w:i/>
          <w:sz w:val="18"/>
          <w:szCs w:val="18"/>
        </w:rPr>
        <w:t>Concluding Observations: China</w:t>
      </w:r>
      <w:r w:rsidRPr="00CB5B5F">
        <w:rPr>
          <w:sz w:val="18"/>
          <w:szCs w:val="18"/>
        </w:rPr>
        <w:t xml:space="preserve">, </w:t>
      </w:r>
      <w:r w:rsidRPr="00CB5B5F">
        <w:rPr>
          <w:b/>
          <w:color w:val="000000"/>
          <w:sz w:val="18"/>
          <w:szCs w:val="18"/>
        </w:rPr>
        <w:t>¶</w:t>
      </w:r>
      <w:r w:rsidRPr="00CB5B5F">
        <w:rPr>
          <w:sz w:val="18"/>
          <w:szCs w:val="18"/>
        </w:rPr>
        <w:t xml:space="preserve"> 27, U.N. Doc. CRC/C/CHN/CO/3-4 (2013).</w:t>
      </w:r>
    </w:p>
  </w:endnote>
  <w:endnote w:id="60">
    <w:p w14:paraId="01198816"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CRC Committee, </w:t>
      </w:r>
      <w:r w:rsidRPr="00CB5B5F">
        <w:rPr>
          <w:i/>
          <w:sz w:val="18"/>
          <w:szCs w:val="18"/>
        </w:rPr>
        <w:t>General Comment No. 9</w:t>
      </w:r>
      <w:r w:rsidRPr="00CB5B5F">
        <w:rPr>
          <w:sz w:val="18"/>
          <w:szCs w:val="18"/>
        </w:rPr>
        <w:t xml:space="preserve">, </w:t>
      </w:r>
      <w:r w:rsidRPr="00CB5B5F">
        <w:rPr>
          <w:i/>
          <w:sz w:val="18"/>
          <w:szCs w:val="18"/>
        </w:rPr>
        <w:t xml:space="preserve">supra </w:t>
      </w:r>
      <w:r w:rsidRPr="00CB5B5F">
        <w:rPr>
          <w:sz w:val="18"/>
          <w:szCs w:val="18"/>
        </w:rPr>
        <w:t xml:space="preserve">note 27, </w:t>
      </w:r>
      <w:r w:rsidRPr="00CB5B5F">
        <w:rPr>
          <w:b/>
          <w:color w:val="000000"/>
          <w:sz w:val="18"/>
          <w:szCs w:val="18"/>
        </w:rPr>
        <w:t>¶</w:t>
      </w:r>
      <w:r w:rsidRPr="00CB5B5F">
        <w:rPr>
          <w:sz w:val="18"/>
          <w:szCs w:val="18"/>
        </w:rPr>
        <w:t xml:space="preserve"> 31.</w:t>
      </w:r>
    </w:p>
  </w:endnote>
  <w:endnote w:id="61">
    <w:p w14:paraId="4B8660CD" w14:textId="77777777"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See, e.g.</w:t>
      </w:r>
      <w:r w:rsidRPr="00CB5B5F">
        <w:rPr>
          <w:sz w:val="18"/>
          <w:szCs w:val="18"/>
        </w:rPr>
        <w:t xml:space="preserve">, CRC Committee, </w:t>
      </w:r>
      <w:r w:rsidRPr="00CB5B5F">
        <w:rPr>
          <w:i/>
          <w:sz w:val="18"/>
          <w:szCs w:val="18"/>
        </w:rPr>
        <w:t>Concluding Observations: India</w:t>
      </w:r>
      <w:r w:rsidRPr="00CB5B5F">
        <w:rPr>
          <w:sz w:val="18"/>
          <w:szCs w:val="18"/>
        </w:rPr>
        <w:t xml:space="preserve">, </w:t>
      </w:r>
      <w:r w:rsidRPr="00CB5B5F">
        <w:rPr>
          <w:b/>
          <w:color w:val="000000"/>
          <w:sz w:val="18"/>
          <w:szCs w:val="18"/>
        </w:rPr>
        <w:t>¶</w:t>
      </w:r>
      <w:r w:rsidRPr="00CB5B5F">
        <w:rPr>
          <w:sz w:val="18"/>
          <w:szCs w:val="18"/>
        </w:rPr>
        <w:t xml:space="preserve"> 33, U.N. Doc. CRC/C/IND/CO/3-4 (2014); </w:t>
      </w:r>
      <w:r w:rsidRPr="00CB5B5F">
        <w:rPr>
          <w:i/>
          <w:sz w:val="18"/>
          <w:szCs w:val="18"/>
        </w:rPr>
        <w:t>Concluding Observations: China</w:t>
      </w:r>
      <w:r w:rsidRPr="00CB5B5F">
        <w:rPr>
          <w:sz w:val="18"/>
          <w:szCs w:val="18"/>
        </w:rPr>
        <w:t xml:space="preserve">, </w:t>
      </w:r>
      <w:r w:rsidRPr="00CB5B5F">
        <w:rPr>
          <w:b/>
          <w:color w:val="000000"/>
          <w:sz w:val="18"/>
          <w:szCs w:val="18"/>
        </w:rPr>
        <w:t>¶</w:t>
      </w:r>
      <w:r w:rsidRPr="00CB5B5F">
        <w:rPr>
          <w:sz w:val="18"/>
          <w:szCs w:val="18"/>
        </w:rPr>
        <w:t xml:space="preserve"> 34, U.N. Doc. CRC/C/CHN/CO/3-4 (2013); </w:t>
      </w:r>
      <w:r w:rsidRPr="00CB5B5F">
        <w:rPr>
          <w:i/>
          <w:sz w:val="18"/>
          <w:szCs w:val="18"/>
        </w:rPr>
        <w:t>Concluding Observations: Togo</w:t>
      </w:r>
      <w:r w:rsidRPr="00CB5B5F">
        <w:rPr>
          <w:sz w:val="18"/>
          <w:szCs w:val="18"/>
        </w:rPr>
        <w:t xml:space="preserve">, </w:t>
      </w:r>
      <w:r w:rsidRPr="00CB5B5F">
        <w:rPr>
          <w:b/>
          <w:color w:val="000000"/>
          <w:sz w:val="18"/>
          <w:szCs w:val="18"/>
        </w:rPr>
        <w:t>¶</w:t>
      </w:r>
      <w:r w:rsidRPr="00CB5B5F">
        <w:rPr>
          <w:sz w:val="18"/>
          <w:szCs w:val="18"/>
        </w:rPr>
        <w:t xml:space="preserve"> 52, U.N. Doc. CRC/C/TGO/CO/3-4 (2012); </w:t>
      </w:r>
      <w:r w:rsidRPr="00CB5B5F">
        <w:rPr>
          <w:i/>
          <w:sz w:val="18"/>
          <w:szCs w:val="18"/>
        </w:rPr>
        <w:t>Concluding Observations: Benin</w:t>
      </w:r>
      <w:r w:rsidRPr="00CB5B5F">
        <w:rPr>
          <w:sz w:val="18"/>
          <w:szCs w:val="18"/>
        </w:rPr>
        <w:t xml:space="preserve">, </w:t>
      </w:r>
      <w:r w:rsidRPr="00CB5B5F">
        <w:rPr>
          <w:b/>
          <w:color w:val="000000"/>
          <w:sz w:val="18"/>
          <w:szCs w:val="18"/>
        </w:rPr>
        <w:t>¶</w:t>
      </w:r>
      <w:r w:rsidRPr="00CB5B5F">
        <w:rPr>
          <w:sz w:val="18"/>
          <w:szCs w:val="18"/>
        </w:rPr>
        <w:t xml:space="preserve"> 50, U.N. Doc. CRC/C/BEN/CO/2 (2006).</w:t>
      </w:r>
    </w:p>
  </w:endnote>
  <w:endnote w:id="62">
    <w:p w14:paraId="0F6C7F21" w14:textId="40B17A6D"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CRPD, </w:t>
      </w:r>
      <w:r w:rsidRPr="00CB5B5F">
        <w:rPr>
          <w:i/>
          <w:sz w:val="18"/>
          <w:szCs w:val="18"/>
        </w:rPr>
        <w:t>supra</w:t>
      </w:r>
      <w:r w:rsidRPr="00CB5B5F">
        <w:rPr>
          <w:sz w:val="18"/>
          <w:szCs w:val="18"/>
        </w:rPr>
        <w:t xml:space="preserve"> note </w:t>
      </w:r>
      <w:r w:rsidR="001208F6" w:rsidRPr="00CB5B5F">
        <w:rPr>
          <w:sz w:val="18"/>
          <w:szCs w:val="18"/>
        </w:rPr>
        <w:t>7</w:t>
      </w:r>
      <w:r w:rsidRPr="00CB5B5F">
        <w:rPr>
          <w:sz w:val="18"/>
          <w:szCs w:val="18"/>
        </w:rPr>
        <w:t>, art. 31.</w:t>
      </w:r>
    </w:p>
  </w:endnote>
  <w:endnote w:id="63">
    <w:p w14:paraId="4B0518D1" w14:textId="3EDFF773"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001208F6" w:rsidRPr="00CB5B5F">
        <w:rPr>
          <w:i/>
          <w:sz w:val="18"/>
          <w:szCs w:val="18"/>
        </w:rPr>
        <w:t>Id</w:t>
      </w:r>
      <w:r w:rsidR="001208F6" w:rsidRPr="00CB5B5F">
        <w:rPr>
          <w:sz w:val="18"/>
          <w:szCs w:val="18"/>
        </w:rPr>
        <w:t>.,</w:t>
      </w:r>
      <w:r w:rsidRPr="00CB5B5F">
        <w:rPr>
          <w:sz w:val="18"/>
          <w:szCs w:val="18"/>
        </w:rPr>
        <w:t xml:space="preserve"> art. 8.</w:t>
      </w:r>
    </w:p>
  </w:endnote>
  <w:endnote w:id="64">
    <w:p w14:paraId="1C5230BA" w14:textId="2D02D0BC"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Pr="00CB5B5F">
        <w:rPr>
          <w:sz w:val="18"/>
          <w:szCs w:val="18"/>
        </w:rPr>
        <w:t>., arts. 19, 24, 27, 28.</w:t>
      </w:r>
    </w:p>
  </w:endnote>
  <w:endnote w:id="65">
    <w:p w14:paraId="18242032" w14:textId="198DCA05" w:rsidR="00C31D64" w:rsidRPr="00CB5B5F" w:rsidRDefault="00C31D64" w:rsidP="00DD5F65">
      <w:pPr>
        <w:pStyle w:val="EndnoteText"/>
        <w:rPr>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Pr="00CB5B5F">
        <w:rPr>
          <w:sz w:val="18"/>
          <w:szCs w:val="18"/>
        </w:rPr>
        <w:t>., arts. 6, 16.</w:t>
      </w:r>
    </w:p>
  </w:endnote>
  <w:endnote w:id="66">
    <w:p w14:paraId="3CF3E2B9" w14:textId="77777777" w:rsidR="00C31D64" w:rsidRPr="00DD5F65" w:rsidRDefault="00C31D64" w:rsidP="00DD5F65">
      <w:pPr>
        <w:pStyle w:val="EndnoteText"/>
        <w:rPr>
          <w:rFonts w:ascii="Times" w:hAnsi="Times"/>
          <w:sz w:val="18"/>
          <w:szCs w:val="18"/>
        </w:rPr>
      </w:pPr>
      <w:r w:rsidRPr="00CB5B5F">
        <w:rPr>
          <w:rStyle w:val="EndnoteReference"/>
          <w:sz w:val="18"/>
          <w:szCs w:val="18"/>
        </w:rPr>
        <w:endnoteRef/>
      </w:r>
      <w:r w:rsidRPr="00CB5B5F">
        <w:rPr>
          <w:sz w:val="18"/>
          <w:szCs w:val="18"/>
        </w:rPr>
        <w:t xml:space="preserve"> </w:t>
      </w:r>
      <w:r w:rsidRPr="00CB5B5F">
        <w:rPr>
          <w:i/>
          <w:sz w:val="18"/>
          <w:szCs w:val="18"/>
        </w:rPr>
        <w:t>Id</w:t>
      </w:r>
      <w:r w:rsidRPr="00CB5B5F">
        <w:rPr>
          <w:sz w:val="18"/>
          <w:szCs w:val="18"/>
        </w:rPr>
        <w:t>., art.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51E9" w14:textId="77777777" w:rsidR="00C31D64" w:rsidRDefault="00C31D64" w:rsidP="009E2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F7DFE" w14:textId="77777777" w:rsidR="00C31D64" w:rsidRDefault="00C31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7FEB" w14:textId="77777777" w:rsidR="00C31D64" w:rsidRDefault="00C31D64" w:rsidP="009E2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A679964" w14:textId="77777777" w:rsidR="00C31D64" w:rsidRDefault="00C31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22567" w14:textId="77777777" w:rsidR="00C31D64" w:rsidRDefault="00C31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A6593" w14:textId="77777777" w:rsidR="0072355F" w:rsidRDefault="0072355F" w:rsidP="002002F6">
      <w:r>
        <w:separator/>
      </w:r>
    </w:p>
  </w:footnote>
  <w:footnote w:type="continuationSeparator" w:id="0">
    <w:p w14:paraId="1E93148E" w14:textId="77777777" w:rsidR="0072355F" w:rsidRDefault="0072355F" w:rsidP="0020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EC54" w14:textId="77777777" w:rsidR="00C31D64" w:rsidRDefault="00C31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C9D3" w14:textId="77777777" w:rsidR="00C31D64" w:rsidRDefault="00C31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6A0A" w14:textId="77777777" w:rsidR="00C31D64" w:rsidRDefault="00C31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5ECB38"/>
    <w:lvl w:ilvl="0">
      <w:start w:val="1"/>
      <w:numFmt w:val="decimal"/>
      <w:pStyle w:val="ListNumber"/>
      <w:lvlText w:val="%1."/>
      <w:lvlJc w:val="left"/>
      <w:pPr>
        <w:tabs>
          <w:tab w:val="num" w:pos="360"/>
        </w:tabs>
        <w:ind w:left="360" w:hanging="360"/>
      </w:pPr>
    </w:lvl>
  </w:abstractNum>
  <w:abstractNum w:abstractNumId="1" w15:restartNumberingAfterBreak="0">
    <w:nsid w:val="0C154047"/>
    <w:multiLevelType w:val="hybridMultilevel"/>
    <w:tmpl w:val="7C3ED57C"/>
    <w:lvl w:ilvl="0" w:tplc="C11017A6">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35C57"/>
    <w:multiLevelType w:val="hybridMultilevel"/>
    <w:tmpl w:val="1AD0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E3263"/>
    <w:multiLevelType w:val="hybridMultilevel"/>
    <w:tmpl w:val="8DF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21A2D"/>
    <w:multiLevelType w:val="hybridMultilevel"/>
    <w:tmpl w:val="E7B0E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147A02"/>
    <w:multiLevelType w:val="hybridMultilevel"/>
    <w:tmpl w:val="1C007CF4"/>
    <w:lvl w:ilvl="0" w:tplc="24D210A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F0CBB"/>
    <w:multiLevelType w:val="hybridMultilevel"/>
    <w:tmpl w:val="ADE4A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935E7"/>
    <w:multiLevelType w:val="hybridMultilevel"/>
    <w:tmpl w:val="2330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66D70"/>
    <w:multiLevelType w:val="hybridMultilevel"/>
    <w:tmpl w:val="86AC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0367D"/>
    <w:multiLevelType w:val="hybridMultilevel"/>
    <w:tmpl w:val="595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83172"/>
    <w:multiLevelType w:val="hybridMultilevel"/>
    <w:tmpl w:val="5C7C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263D6"/>
    <w:multiLevelType w:val="hybridMultilevel"/>
    <w:tmpl w:val="A7E6B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0373D"/>
    <w:multiLevelType w:val="hybridMultilevel"/>
    <w:tmpl w:val="A4FA7A16"/>
    <w:lvl w:ilvl="0" w:tplc="80A82F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9"/>
  </w:num>
  <w:num w:numId="3">
    <w:abstractNumId w:val="11"/>
  </w:num>
  <w:num w:numId="4">
    <w:abstractNumId w:val="6"/>
  </w:num>
  <w:num w:numId="5">
    <w:abstractNumId w:val="3"/>
  </w:num>
  <w:num w:numId="6">
    <w:abstractNumId w:val="0"/>
  </w:num>
  <w:num w:numId="7">
    <w:abstractNumId w:val="5"/>
  </w:num>
  <w:num w:numId="8">
    <w:abstractNumId w:val="1"/>
  </w:num>
  <w:num w:numId="9">
    <w:abstractNumId w:val="8"/>
  </w:num>
  <w:num w:numId="10">
    <w:abstractNumId w:val="12"/>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5C"/>
    <w:rsid w:val="0000311E"/>
    <w:rsid w:val="00047D3F"/>
    <w:rsid w:val="000773C7"/>
    <w:rsid w:val="000A11D5"/>
    <w:rsid w:val="000D43D6"/>
    <w:rsid w:val="000F2F7D"/>
    <w:rsid w:val="001208F6"/>
    <w:rsid w:val="001237B4"/>
    <w:rsid w:val="00135E8A"/>
    <w:rsid w:val="0013714E"/>
    <w:rsid w:val="00140DCD"/>
    <w:rsid w:val="00141510"/>
    <w:rsid w:val="00154DAA"/>
    <w:rsid w:val="00175257"/>
    <w:rsid w:val="001A0D81"/>
    <w:rsid w:val="001B5DDB"/>
    <w:rsid w:val="002002F6"/>
    <w:rsid w:val="00217A06"/>
    <w:rsid w:val="00222C25"/>
    <w:rsid w:val="002761EE"/>
    <w:rsid w:val="00283AC5"/>
    <w:rsid w:val="002D1038"/>
    <w:rsid w:val="002D3A60"/>
    <w:rsid w:val="002E17ED"/>
    <w:rsid w:val="00301DCD"/>
    <w:rsid w:val="00307219"/>
    <w:rsid w:val="003175D4"/>
    <w:rsid w:val="00337C08"/>
    <w:rsid w:val="00381399"/>
    <w:rsid w:val="003B042A"/>
    <w:rsid w:val="003C268D"/>
    <w:rsid w:val="003D1395"/>
    <w:rsid w:val="003E295C"/>
    <w:rsid w:val="003F5415"/>
    <w:rsid w:val="004077F1"/>
    <w:rsid w:val="00443138"/>
    <w:rsid w:val="0048024C"/>
    <w:rsid w:val="00481B16"/>
    <w:rsid w:val="00482A17"/>
    <w:rsid w:val="0049491D"/>
    <w:rsid w:val="004B52C6"/>
    <w:rsid w:val="004D6099"/>
    <w:rsid w:val="004E4207"/>
    <w:rsid w:val="004F184F"/>
    <w:rsid w:val="004F72CD"/>
    <w:rsid w:val="00500381"/>
    <w:rsid w:val="00506334"/>
    <w:rsid w:val="00524805"/>
    <w:rsid w:val="00533942"/>
    <w:rsid w:val="00542437"/>
    <w:rsid w:val="005611FA"/>
    <w:rsid w:val="00570DC7"/>
    <w:rsid w:val="00577B29"/>
    <w:rsid w:val="0058273A"/>
    <w:rsid w:val="00584C8F"/>
    <w:rsid w:val="005B0DA0"/>
    <w:rsid w:val="005B428F"/>
    <w:rsid w:val="005C0350"/>
    <w:rsid w:val="005C3112"/>
    <w:rsid w:val="005C4E32"/>
    <w:rsid w:val="005E7EA4"/>
    <w:rsid w:val="005F0BE6"/>
    <w:rsid w:val="005F3A69"/>
    <w:rsid w:val="005F3DEA"/>
    <w:rsid w:val="006404C0"/>
    <w:rsid w:val="00675898"/>
    <w:rsid w:val="00683FFA"/>
    <w:rsid w:val="0068620C"/>
    <w:rsid w:val="006B5694"/>
    <w:rsid w:val="006C3F10"/>
    <w:rsid w:val="006C7329"/>
    <w:rsid w:val="006D34A0"/>
    <w:rsid w:val="006E1528"/>
    <w:rsid w:val="006F2EB2"/>
    <w:rsid w:val="00711ED9"/>
    <w:rsid w:val="0072161C"/>
    <w:rsid w:val="0072355F"/>
    <w:rsid w:val="007267E4"/>
    <w:rsid w:val="007800E7"/>
    <w:rsid w:val="007A0451"/>
    <w:rsid w:val="00805055"/>
    <w:rsid w:val="00807DC3"/>
    <w:rsid w:val="00844EE6"/>
    <w:rsid w:val="008618BD"/>
    <w:rsid w:val="00865A35"/>
    <w:rsid w:val="00870AC2"/>
    <w:rsid w:val="008929D1"/>
    <w:rsid w:val="0089788E"/>
    <w:rsid w:val="008B17DD"/>
    <w:rsid w:val="008D1161"/>
    <w:rsid w:val="0092093B"/>
    <w:rsid w:val="00974B1F"/>
    <w:rsid w:val="00977B65"/>
    <w:rsid w:val="009D594E"/>
    <w:rsid w:val="009E25CE"/>
    <w:rsid w:val="009E7BE7"/>
    <w:rsid w:val="00A0417E"/>
    <w:rsid w:val="00A06F80"/>
    <w:rsid w:val="00A2347C"/>
    <w:rsid w:val="00A33B07"/>
    <w:rsid w:val="00A43FF5"/>
    <w:rsid w:val="00A45FA3"/>
    <w:rsid w:val="00AE5006"/>
    <w:rsid w:val="00AF11D9"/>
    <w:rsid w:val="00B2177A"/>
    <w:rsid w:val="00B27123"/>
    <w:rsid w:val="00B4276E"/>
    <w:rsid w:val="00B760CD"/>
    <w:rsid w:val="00B80DD7"/>
    <w:rsid w:val="00B83EEE"/>
    <w:rsid w:val="00B955FD"/>
    <w:rsid w:val="00B95917"/>
    <w:rsid w:val="00BB624C"/>
    <w:rsid w:val="00BC1F85"/>
    <w:rsid w:val="00BD3FA0"/>
    <w:rsid w:val="00C31D64"/>
    <w:rsid w:val="00C44FC6"/>
    <w:rsid w:val="00C65806"/>
    <w:rsid w:val="00C65A8A"/>
    <w:rsid w:val="00C76732"/>
    <w:rsid w:val="00CB5B5F"/>
    <w:rsid w:val="00CD7972"/>
    <w:rsid w:val="00D04D9A"/>
    <w:rsid w:val="00D066D7"/>
    <w:rsid w:val="00D21299"/>
    <w:rsid w:val="00D26B91"/>
    <w:rsid w:val="00D26BF4"/>
    <w:rsid w:val="00D351A3"/>
    <w:rsid w:val="00D519D1"/>
    <w:rsid w:val="00D60811"/>
    <w:rsid w:val="00D612E2"/>
    <w:rsid w:val="00D87017"/>
    <w:rsid w:val="00DB10C5"/>
    <w:rsid w:val="00DB22C0"/>
    <w:rsid w:val="00DC18B1"/>
    <w:rsid w:val="00DD5F65"/>
    <w:rsid w:val="00DE2C27"/>
    <w:rsid w:val="00E16388"/>
    <w:rsid w:val="00E22377"/>
    <w:rsid w:val="00E44E10"/>
    <w:rsid w:val="00E456F1"/>
    <w:rsid w:val="00E843AE"/>
    <w:rsid w:val="00E90A23"/>
    <w:rsid w:val="00EA41C8"/>
    <w:rsid w:val="00EC35E6"/>
    <w:rsid w:val="00EF3F95"/>
    <w:rsid w:val="00F34673"/>
    <w:rsid w:val="00F4529A"/>
    <w:rsid w:val="00F524F7"/>
    <w:rsid w:val="00F7634B"/>
    <w:rsid w:val="00F91D90"/>
    <w:rsid w:val="00F95A27"/>
    <w:rsid w:val="00FA5605"/>
    <w:rsid w:val="00FD0EA5"/>
    <w:rsid w:val="00FE2852"/>
    <w:rsid w:val="00FE3D40"/>
    <w:rsid w:val="00FE51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ED793"/>
  <w14:defaultImageDpi w14:val="32767"/>
  <w15:docId w15:val="{626F230A-C5A8-B141-84E4-E26103C5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B91"/>
    <w:rPr>
      <w:rFonts w:ascii="Times New Roman" w:eastAsia="Times New Roman" w:hAnsi="Times New Roman" w:cs="Times New Roman"/>
    </w:rPr>
  </w:style>
  <w:style w:type="paragraph" w:styleId="Heading1">
    <w:name w:val="heading 1"/>
    <w:basedOn w:val="Normal"/>
    <w:next w:val="Normal"/>
    <w:link w:val="Heading1Char"/>
    <w:uiPriority w:val="9"/>
    <w:qFormat/>
    <w:rsid w:val="00EC35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5C"/>
    <w:pPr>
      <w:ind w:left="720"/>
      <w:contextualSpacing/>
    </w:pPr>
  </w:style>
  <w:style w:type="paragraph" w:styleId="EndnoteText">
    <w:name w:val="endnote text"/>
    <w:basedOn w:val="Normal"/>
    <w:link w:val="EndnoteTextChar"/>
    <w:uiPriority w:val="99"/>
    <w:unhideWhenUsed/>
    <w:rsid w:val="002002F6"/>
    <w:rPr>
      <w:sz w:val="20"/>
      <w:szCs w:val="20"/>
    </w:rPr>
  </w:style>
  <w:style w:type="character" w:customStyle="1" w:styleId="EndnoteTextChar">
    <w:name w:val="Endnote Text Char"/>
    <w:basedOn w:val="DefaultParagraphFont"/>
    <w:link w:val="EndnoteText"/>
    <w:uiPriority w:val="99"/>
    <w:rsid w:val="002002F6"/>
    <w:rPr>
      <w:sz w:val="20"/>
      <w:szCs w:val="20"/>
    </w:rPr>
  </w:style>
  <w:style w:type="character" w:styleId="EndnoteReference">
    <w:name w:val="endnote reference"/>
    <w:basedOn w:val="DefaultParagraphFont"/>
    <w:uiPriority w:val="99"/>
    <w:unhideWhenUsed/>
    <w:rsid w:val="002002F6"/>
    <w:rPr>
      <w:vertAlign w:val="superscript"/>
    </w:rPr>
  </w:style>
  <w:style w:type="character" w:styleId="Hyperlink">
    <w:name w:val="Hyperlink"/>
    <w:basedOn w:val="DefaultParagraphFont"/>
    <w:uiPriority w:val="99"/>
    <w:unhideWhenUsed/>
    <w:rsid w:val="002002F6"/>
    <w:rPr>
      <w:color w:val="0563C1" w:themeColor="hyperlink"/>
      <w:u w:val="single"/>
    </w:rPr>
  </w:style>
  <w:style w:type="paragraph" w:customStyle="1" w:styleId="p1">
    <w:name w:val="p1"/>
    <w:basedOn w:val="Normal"/>
    <w:rsid w:val="002002F6"/>
    <w:rPr>
      <w:rFonts w:eastAsiaTheme="minorEastAsia"/>
      <w:sz w:val="18"/>
      <w:szCs w:val="18"/>
    </w:rPr>
  </w:style>
  <w:style w:type="paragraph" w:customStyle="1" w:styleId="p2">
    <w:name w:val="p2"/>
    <w:basedOn w:val="Normal"/>
    <w:rsid w:val="002002F6"/>
    <w:rPr>
      <w:rFonts w:eastAsiaTheme="minorEastAsia"/>
      <w:sz w:val="17"/>
      <w:szCs w:val="17"/>
    </w:rPr>
  </w:style>
  <w:style w:type="character" w:customStyle="1" w:styleId="s1">
    <w:name w:val="s1"/>
    <w:basedOn w:val="DefaultParagraphFont"/>
    <w:rsid w:val="002002F6"/>
    <w:rPr>
      <w:rFonts w:ascii="Times New Roman" w:hAnsi="Times New Roman" w:cs="Times New Roman" w:hint="default"/>
      <w:sz w:val="12"/>
      <w:szCs w:val="12"/>
    </w:rPr>
  </w:style>
  <w:style w:type="paragraph" w:styleId="FootnoteText">
    <w:name w:val="footnote text"/>
    <w:basedOn w:val="Normal"/>
    <w:link w:val="FootnoteTextChar"/>
    <w:uiPriority w:val="99"/>
    <w:unhideWhenUsed/>
    <w:rsid w:val="002002F6"/>
    <w:rPr>
      <w:sz w:val="20"/>
      <w:szCs w:val="20"/>
    </w:rPr>
  </w:style>
  <w:style w:type="character" w:customStyle="1" w:styleId="FootnoteTextChar">
    <w:name w:val="Footnote Text Char"/>
    <w:basedOn w:val="DefaultParagraphFont"/>
    <w:link w:val="FootnoteText"/>
    <w:uiPriority w:val="99"/>
    <w:rsid w:val="002002F6"/>
    <w:rPr>
      <w:sz w:val="20"/>
      <w:szCs w:val="20"/>
    </w:rPr>
  </w:style>
  <w:style w:type="character" w:customStyle="1" w:styleId="UnresolvedMention1">
    <w:name w:val="Unresolved Mention1"/>
    <w:basedOn w:val="DefaultParagraphFont"/>
    <w:uiPriority w:val="99"/>
    <w:rsid w:val="0089788E"/>
    <w:rPr>
      <w:color w:val="605E5C"/>
      <w:shd w:val="clear" w:color="auto" w:fill="E1DFDD"/>
    </w:rPr>
  </w:style>
  <w:style w:type="character" w:styleId="FootnoteReference">
    <w:name w:val="footnote reference"/>
    <w:aliases w:val="4_G,Footnote number"/>
    <w:uiPriority w:val="99"/>
    <w:unhideWhenUsed/>
    <w:rsid w:val="00BD3FA0"/>
    <w:rPr>
      <w:vertAlign w:val="superscript"/>
    </w:rPr>
  </w:style>
  <w:style w:type="paragraph" w:styleId="Footer">
    <w:name w:val="footer"/>
    <w:basedOn w:val="Normal"/>
    <w:link w:val="FooterChar"/>
    <w:uiPriority w:val="99"/>
    <w:unhideWhenUsed/>
    <w:rsid w:val="009E25CE"/>
    <w:pPr>
      <w:tabs>
        <w:tab w:val="center" w:pos="4320"/>
        <w:tab w:val="right" w:pos="8640"/>
      </w:tabs>
    </w:pPr>
  </w:style>
  <w:style w:type="character" w:customStyle="1" w:styleId="FooterChar">
    <w:name w:val="Footer Char"/>
    <w:basedOn w:val="DefaultParagraphFont"/>
    <w:link w:val="Footer"/>
    <w:uiPriority w:val="99"/>
    <w:rsid w:val="009E25CE"/>
  </w:style>
  <w:style w:type="character" w:styleId="PageNumber">
    <w:name w:val="page number"/>
    <w:basedOn w:val="DefaultParagraphFont"/>
    <w:uiPriority w:val="99"/>
    <w:semiHidden/>
    <w:unhideWhenUsed/>
    <w:rsid w:val="009E25CE"/>
  </w:style>
  <w:style w:type="character" w:styleId="FollowedHyperlink">
    <w:name w:val="FollowedHyperlink"/>
    <w:basedOn w:val="DefaultParagraphFont"/>
    <w:uiPriority w:val="99"/>
    <w:semiHidden/>
    <w:unhideWhenUsed/>
    <w:rsid w:val="00154DAA"/>
    <w:rPr>
      <w:color w:val="954F72" w:themeColor="followedHyperlink"/>
      <w:u w:val="single"/>
    </w:rPr>
  </w:style>
  <w:style w:type="paragraph" w:styleId="Header">
    <w:name w:val="header"/>
    <w:basedOn w:val="Normal"/>
    <w:link w:val="HeaderChar"/>
    <w:uiPriority w:val="99"/>
    <w:unhideWhenUsed/>
    <w:rsid w:val="003D1395"/>
    <w:pPr>
      <w:tabs>
        <w:tab w:val="center" w:pos="4680"/>
        <w:tab w:val="right" w:pos="9360"/>
      </w:tabs>
    </w:pPr>
  </w:style>
  <w:style w:type="character" w:customStyle="1" w:styleId="HeaderChar">
    <w:name w:val="Header Char"/>
    <w:basedOn w:val="DefaultParagraphFont"/>
    <w:link w:val="Header"/>
    <w:uiPriority w:val="99"/>
    <w:rsid w:val="003D1395"/>
  </w:style>
  <w:style w:type="paragraph" w:styleId="ListNumber">
    <w:name w:val="List Number"/>
    <w:basedOn w:val="Normal"/>
    <w:uiPriority w:val="99"/>
    <w:semiHidden/>
    <w:unhideWhenUsed/>
    <w:rsid w:val="003D1395"/>
    <w:pPr>
      <w:numPr>
        <w:numId w:val="6"/>
      </w:numPr>
      <w:contextualSpacing/>
    </w:pPr>
  </w:style>
  <w:style w:type="character" w:customStyle="1" w:styleId="UnresolvedMention2">
    <w:name w:val="Unresolved Mention2"/>
    <w:basedOn w:val="DefaultParagraphFont"/>
    <w:uiPriority w:val="99"/>
    <w:semiHidden/>
    <w:unhideWhenUsed/>
    <w:rsid w:val="0048024C"/>
    <w:rPr>
      <w:color w:val="605E5C"/>
      <w:shd w:val="clear" w:color="auto" w:fill="E1DFDD"/>
    </w:rPr>
  </w:style>
  <w:style w:type="character" w:styleId="CommentReference">
    <w:name w:val="annotation reference"/>
    <w:basedOn w:val="DefaultParagraphFont"/>
    <w:uiPriority w:val="99"/>
    <w:semiHidden/>
    <w:unhideWhenUsed/>
    <w:rsid w:val="000773C7"/>
    <w:rPr>
      <w:sz w:val="18"/>
      <w:szCs w:val="18"/>
    </w:rPr>
  </w:style>
  <w:style w:type="paragraph" w:styleId="CommentText">
    <w:name w:val="annotation text"/>
    <w:basedOn w:val="Normal"/>
    <w:link w:val="CommentTextChar"/>
    <w:uiPriority w:val="99"/>
    <w:semiHidden/>
    <w:unhideWhenUsed/>
    <w:rsid w:val="000773C7"/>
    <w:rPr>
      <w:rFonts w:eastAsiaTheme="minorEastAsia"/>
    </w:rPr>
  </w:style>
  <w:style w:type="character" w:customStyle="1" w:styleId="CommentTextChar">
    <w:name w:val="Comment Text Char"/>
    <w:basedOn w:val="DefaultParagraphFont"/>
    <w:link w:val="CommentText"/>
    <w:uiPriority w:val="99"/>
    <w:semiHidden/>
    <w:rsid w:val="000773C7"/>
    <w:rPr>
      <w:rFonts w:eastAsiaTheme="minorEastAsia"/>
    </w:rPr>
  </w:style>
  <w:style w:type="paragraph" w:styleId="BalloonText">
    <w:name w:val="Balloon Text"/>
    <w:basedOn w:val="Normal"/>
    <w:link w:val="BalloonTextChar"/>
    <w:uiPriority w:val="99"/>
    <w:semiHidden/>
    <w:unhideWhenUsed/>
    <w:rsid w:val="000773C7"/>
    <w:rPr>
      <w:sz w:val="18"/>
      <w:szCs w:val="18"/>
    </w:rPr>
  </w:style>
  <w:style w:type="character" w:customStyle="1" w:styleId="BalloonTextChar">
    <w:name w:val="Balloon Text Char"/>
    <w:basedOn w:val="DefaultParagraphFont"/>
    <w:link w:val="BalloonText"/>
    <w:uiPriority w:val="99"/>
    <w:semiHidden/>
    <w:rsid w:val="000773C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70DC7"/>
    <w:rPr>
      <w:rFonts w:eastAsia="Times New Roman"/>
      <w:b/>
      <w:bCs/>
      <w:sz w:val="20"/>
      <w:szCs w:val="20"/>
    </w:rPr>
  </w:style>
  <w:style w:type="character" w:customStyle="1" w:styleId="CommentSubjectChar">
    <w:name w:val="Comment Subject Char"/>
    <w:basedOn w:val="CommentTextChar"/>
    <w:link w:val="CommentSubject"/>
    <w:uiPriority w:val="99"/>
    <w:semiHidden/>
    <w:rsid w:val="00570DC7"/>
    <w:rPr>
      <w:rFonts w:ascii="Times New Roman" w:eastAsia="Times New Roman" w:hAnsi="Times New Roman" w:cs="Times New Roman"/>
      <w:b/>
      <w:bCs/>
      <w:sz w:val="20"/>
      <w:szCs w:val="20"/>
    </w:rPr>
  </w:style>
  <w:style w:type="paragraph" w:styleId="Revision">
    <w:name w:val="Revision"/>
    <w:hidden/>
    <w:uiPriority w:val="99"/>
    <w:semiHidden/>
    <w:rsid w:val="00140DCD"/>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E2852"/>
    <w:rPr>
      <w:color w:val="605E5C"/>
      <w:shd w:val="clear" w:color="auto" w:fill="E1DFDD"/>
    </w:rPr>
  </w:style>
  <w:style w:type="character" w:customStyle="1" w:styleId="Heading1Char">
    <w:name w:val="Heading 1 Char"/>
    <w:basedOn w:val="DefaultParagraphFont"/>
    <w:link w:val="Heading1"/>
    <w:uiPriority w:val="9"/>
    <w:rsid w:val="00EC35E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1939">
      <w:bodyDiv w:val="1"/>
      <w:marLeft w:val="0"/>
      <w:marRight w:val="0"/>
      <w:marTop w:val="0"/>
      <w:marBottom w:val="0"/>
      <w:divBdr>
        <w:top w:val="none" w:sz="0" w:space="0" w:color="auto"/>
        <w:left w:val="none" w:sz="0" w:space="0" w:color="auto"/>
        <w:bottom w:val="none" w:sz="0" w:space="0" w:color="auto"/>
        <w:right w:val="none" w:sz="0" w:space="0" w:color="auto"/>
      </w:divBdr>
    </w:div>
    <w:div w:id="192574355">
      <w:bodyDiv w:val="1"/>
      <w:marLeft w:val="0"/>
      <w:marRight w:val="0"/>
      <w:marTop w:val="0"/>
      <w:marBottom w:val="0"/>
      <w:divBdr>
        <w:top w:val="none" w:sz="0" w:space="0" w:color="auto"/>
        <w:left w:val="none" w:sz="0" w:space="0" w:color="auto"/>
        <w:bottom w:val="none" w:sz="0" w:space="0" w:color="auto"/>
        <w:right w:val="none" w:sz="0" w:space="0" w:color="auto"/>
      </w:divBdr>
    </w:div>
    <w:div w:id="250044622">
      <w:bodyDiv w:val="1"/>
      <w:marLeft w:val="0"/>
      <w:marRight w:val="0"/>
      <w:marTop w:val="0"/>
      <w:marBottom w:val="0"/>
      <w:divBdr>
        <w:top w:val="none" w:sz="0" w:space="0" w:color="auto"/>
        <w:left w:val="none" w:sz="0" w:space="0" w:color="auto"/>
        <w:bottom w:val="none" w:sz="0" w:space="0" w:color="auto"/>
        <w:right w:val="none" w:sz="0" w:space="0" w:color="auto"/>
      </w:divBdr>
    </w:div>
    <w:div w:id="258637097">
      <w:bodyDiv w:val="1"/>
      <w:marLeft w:val="0"/>
      <w:marRight w:val="0"/>
      <w:marTop w:val="0"/>
      <w:marBottom w:val="0"/>
      <w:divBdr>
        <w:top w:val="none" w:sz="0" w:space="0" w:color="auto"/>
        <w:left w:val="none" w:sz="0" w:space="0" w:color="auto"/>
        <w:bottom w:val="none" w:sz="0" w:space="0" w:color="auto"/>
        <w:right w:val="none" w:sz="0" w:space="0" w:color="auto"/>
      </w:divBdr>
    </w:div>
    <w:div w:id="385034599">
      <w:bodyDiv w:val="1"/>
      <w:marLeft w:val="0"/>
      <w:marRight w:val="0"/>
      <w:marTop w:val="0"/>
      <w:marBottom w:val="0"/>
      <w:divBdr>
        <w:top w:val="none" w:sz="0" w:space="0" w:color="auto"/>
        <w:left w:val="none" w:sz="0" w:space="0" w:color="auto"/>
        <w:bottom w:val="none" w:sz="0" w:space="0" w:color="auto"/>
        <w:right w:val="none" w:sz="0" w:space="0" w:color="auto"/>
      </w:divBdr>
    </w:div>
    <w:div w:id="402289987">
      <w:bodyDiv w:val="1"/>
      <w:marLeft w:val="0"/>
      <w:marRight w:val="0"/>
      <w:marTop w:val="0"/>
      <w:marBottom w:val="0"/>
      <w:divBdr>
        <w:top w:val="none" w:sz="0" w:space="0" w:color="auto"/>
        <w:left w:val="none" w:sz="0" w:space="0" w:color="auto"/>
        <w:bottom w:val="none" w:sz="0" w:space="0" w:color="auto"/>
        <w:right w:val="none" w:sz="0" w:space="0" w:color="auto"/>
      </w:divBdr>
      <w:divsChild>
        <w:div w:id="1644309207">
          <w:marLeft w:val="0"/>
          <w:marRight w:val="0"/>
          <w:marTop w:val="0"/>
          <w:marBottom w:val="0"/>
          <w:divBdr>
            <w:top w:val="none" w:sz="0" w:space="0" w:color="auto"/>
            <w:left w:val="none" w:sz="0" w:space="0" w:color="auto"/>
            <w:bottom w:val="none" w:sz="0" w:space="0" w:color="auto"/>
            <w:right w:val="none" w:sz="0" w:space="0" w:color="auto"/>
          </w:divBdr>
        </w:div>
        <w:div w:id="210195008">
          <w:marLeft w:val="0"/>
          <w:marRight w:val="0"/>
          <w:marTop w:val="0"/>
          <w:marBottom w:val="0"/>
          <w:divBdr>
            <w:top w:val="none" w:sz="0" w:space="0" w:color="auto"/>
            <w:left w:val="none" w:sz="0" w:space="0" w:color="auto"/>
            <w:bottom w:val="none" w:sz="0" w:space="0" w:color="auto"/>
            <w:right w:val="none" w:sz="0" w:space="0" w:color="auto"/>
          </w:divBdr>
        </w:div>
        <w:div w:id="2094890170">
          <w:marLeft w:val="0"/>
          <w:marRight w:val="0"/>
          <w:marTop w:val="0"/>
          <w:marBottom w:val="0"/>
          <w:divBdr>
            <w:top w:val="none" w:sz="0" w:space="0" w:color="auto"/>
            <w:left w:val="none" w:sz="0" w:space="0" w:color="auto"/>
            <w:bottom w:val="none" w:sz="0" w:space="0" w:color="auto"/>
            <w:right w:val="none" w:sz="0" w:space="0" w:color="auto"/>
          </w:divBdr>
        </w:div>
      </w:divsChild>
    </w:div>
    <w:div w:id="404767003">
      <w:bodyDiv w:val="1"/>
      <w:marLeft w:val="0"/>
      <w:marRight w:val="0"/>
      <w:marTop w:val="0"/>
      <w:marBottom w:val="0"/>
      <w:divBdr>
        <w:top w:val="none" w:sz="0" w:space="0" w:color="auto"/>
        <w:left w:val="none" w:sz="0" w:space="0" w:color="auto"/>
        <w:bottom w:val="none" w:sz="0" w:space="0" w:color="auto"/>
        <w:right w:val="none" w:sz="0" w:space="0" w:color="auto"/>
      </w:divBdr>
    </w:div>
    <w:div w:id="465440181">
      <w:bodyDiv w:val="1"/>
      <w:marLeft w:val="0"/>
      <w:marRight w:val="0"/>
      <w:marTop w:val="0"/>
      <w:marBottom w:val="0"/>
      <w:divBdr>
        <w:top w:val="none" w:sz="0" w:space="0" w:color="auto"/>
        <w:left w:val="none" w:sz="0" w:space="0" w:color="auto"/>
        <w:bottom w:val="none" w:sz="0" w:space="0" w:color="auto"/>
        <w:right w:val="none" w:sz="0" w:space="0" w:color="auto"/>
      </w:divBdr>
    </w:div>
    <w:div w:id="487474682">
      <w:bodyDiv w:val="1"/>
      <w:marLeft w:val="0"/>
      <w:marRight w:val="0"/>
      <w:marTop w:val="0"/>
      <w:marBottom w:val="0"/>
      <w:divBdr>
        <w:top w:val="none" w:sz="0" w:space="0" w:color="auto"/>
        <w:left w:val="none" w:sz="0" w:space="0" w:color="auto"/>
        <w:bottom w:val="none" w:sz="0" w:space="0" w:color="auto"/>
        <w:right w:val="none" w:sz="0" w:space="0" w:color="auto"/>
      </w:divBdr>
    </w:div>
    <w:div w:id="682586564">
      <w:bodyDiv w:val="1"/>
      <w:marLeft w:val="0"/>
      <w:marRight w:val="0"/>
      <w:marTop w:val="0"/>
      <w:marBottom w:val="0"/>
      <w:divBdr>
        <w:top w:val="none" w:sz="0" w:space="0" w:color="auto"/>
        <w:left w:val="none" w:sz="0" w:space="0" w:color="auto"/>
        <w:bottom w:val="none" w:sz="0" w:space="0" w:color="auto"/>
        <w:right w:val="none" w:sz="0" w:space="0" w:color="auto"/>
      </w:divBdr>
    </w:div>
    <w:div w:id="699935669">
      <w:bodyDiv w:val="1"/>
      <w:marLeft w:val="0"/>
      <w:marRight w:val="0"/>
      <w:marTop w:val="0"/>
      <w:marBottom w:val="0"/>
      <w:divBdr>
        <w:top w:val="none" w:sz="0" w:space="0" w:color="auto"/>
        <w:left w:val="none" w:sz="0" w:space="0" w:color="auto"/>
        <w:bottom w:val="none" w:sz="0" w:space="0" w:color="auto"/>
        <w:right w:val="none" w:sz="0" w:space="0" w:color="auto"/>
      </w:divBdr>
    </w:div>
    <w:div w:id="746727628">
      <w:bodyDiv w:val="1"/>
      <w:marLeft w:val="0"/>
      <w:marRight w:val="0"/>
      <w:marTop w:val="0"/>
      <w:marBottom w:val="0"/>
      <w:divBdr>
        <w:top w:val="none" w:sz="0" w:space="0" w:color="auto"/>
        <w:left w:val="none" w:sz="0" w:space="0" w:color="auto"/>
        <w:bottom w:val="none" w:sz="0" w:space="0" w:color="auto"/>
        <w:right w:val="none" w:sz="0" w:space="0" w:color="auto"/>
      </w:divBdr>
    </w:div>
    <w:div w:id="759645690">
      <w:bodyDiv w:val="1"/>
      <w:marLeft w:val="0"/>
      <w:marRight w:val="0"/>
      <w:marTop w:val="0"/>
      <w:marBottom w:val="0"/>
      <w:divBdr>
        <w:top w:val="none" w:sz="0" w:space="0" w:color="auto"/>
        <w:left w:val="none" w:sz="0" w:space="0" w:color="auto"/>
        <w:bottom w:val="none" w:sz="0" w:space="0" w:color="auto"/>
        <w:right w:val="none" w:sz="0" w:space="0" w:color="auto"/>
      </w:divBdr>
    </w:div>
    <w:div w:id="768618147">
      <w:bodyDiv w:val="1"/>
      <w:marLeft w:val="0"/>
      <w:marRight w:val="0"/>
      <w:marTop w:val="0"/>
      <w:marBottom w:val="0"/>
      <w:divBdr>
        <w:top w:val="none" w:sz="0" w:space="0" w:color="auto"/>
        <w:left w:val="none" w:sz="0" w:space="0" w:color="auto"/>
        <w:bottom w:val="none" w:sz="0" w:space="0" w:color="auto"/>
        <w:right w:val="none" w:sz="0" w:space="0" w:color="auto"/>
      </w:divBdr>
    </w:div>
    <w:div w:id="800418375">
      <w:bodyDiv w:val="1"/>
      <w:marLeft w:val="0"/>
      <w:marRight w:val="0"/>
      <w:marTop w:val="0"/>
      <w:marBottom w:val="0"/>
      <w:divBdr>
        <w:top w:val="none" w:sz="0" w:space="0" w:color="auto"/>
        <w:left w:val="none" w:sz="0" w:space="0" w:color="auto"/>
        <w:bottom w:val="none" w:sz="0" w:space="0" w:color="auto"/>
        <w:right w:val="none" w:sz="0" w:space="0" w:color="auto"/>
      </w:divBdr>
    </w:div>
    <w:div w:id="871267369">
      <w:bodyDiv w:val="1"/>
      <w:marLeft w:val="0"/>
      <w:marRight w:val="0"/>
      <w:marTop w:val="0"/>
      <w:marBottom w:val="0"/>
      <w:divBdr>
        <w:top w:val="none" w:sz="0" w:space="0" w:color="auto"/>
        <w:left w:val="none" w:sz="0" w:space="0" w:color="auto"/>
        <w:bottom w:val="none" w:sz="0" w:space="0" w:color="auto"/>
        <w:right w:val="none" w:sz="0" w:space="0" w:color="auto"/>
      </w:divBdr>
    </w:div>
    <w:div w:id="882139605">
      <w:bodyDiv w:val="1"/>
      <w:marLeft w:val="0"/>
      <w:marRight w:val="0"/>
      <w:marTop w:val="0"/>
      <w:marBottom w:val="0"/>
      <w:divBdr>
        <w:top w:val="none" w:sz="0" w:space="0" w:color="auto"/>
        <w:left w:val="none" w:sz="0" w:space="0" w:color="auto"/>
        <w:bottom w:val="none" w:sz="0" w:space="0" w:color="auto"/>
        <w:right w:val="none" w:sz="0" w:space="0" w:color="auto"/>
      </w:divBdr>
    </w:div>
    <w:div w:id="901134451">
      <w:bodyDiv w:val="1"/>
      <w:marLeft w:val="0"/>
      <w:marRight w:val="0"/>
      <w:marTop w:val="0"/>
      <w:marBottom w:val="0"/>
      <w:divBdr>
        <w:top w:val="none" w:sz="0" w:space="0" w:color="auto"/>
        <w:left w:val="none" w:sz="0" w:space="0" w:color="auto"/>
        <w:bottom w:val="none" w:sz="0" w:space="0" w:color="auto"/>
        <w:right w:val="none" w:sz="0" w:space="0" w:color="auto"/>
      </w:divBdr>
    </w:div>
    <w:div w:id="938565595">
      <w:bodyDiv w:val="1"/>
      <w:marLeft w:val="0"/>
      <w:marRight w:val="0"/>
      <w:marTop w:val="0"/>
      <w:marBottom w:val="0"/>
      <w:divBdr>
        <w:top w:val="none" w:sz="0" w:space="0" w:color="auto"/>
        <w:left w:val="none" w:sz="0" w:space="0" w:color="auto"/>
        <w:bottom w:val="none" w:sz="0" w:space="0" w:color="auto"/>
        <w:right w:val="none" w:sz="0" w:space="0" w:color="auto"/>
      </w:divBdr>
    </w:div>
    <w:div w:id="1041368811">
      <w:bodyDiv w:val="1"/>
      <w:marLeft w:val="0"/>
      <w:marRight w:val="0"/>
      <w:marTop w:val="0"/>
      <w:marBottom w:val="0"/>
      <w:divBdr>
        <w:top w:val="none" w:sz="0" w:space="0" w:color="auto"/>
        <w:left w:val="none" w:sz="0" w:space="0" w:color="auto"/>
        <w:bottom w:val="none" w:sz="0" w:space="0" w:color="auto"/>
        <w:right w:val="none" w:sz="0" w:space="0" w:color="auto"/>
      </w:divBdr>
    </w:div>
    <w:div w:id="1056706862">
      <w:bodyDiv w:val="1"/>
      <w:marLeft w:val="0"/>
      <w:marRight w:val="0"/>
      <w:marTop w:val="0"/>
      <w:marBottom w:val="0"/>
      <w:divBdr>
        <w:top w:val="none" w:sz="0" w:space="0" w:color="auto"/>
        <w:left w:val="none" w:sz="0" w:space="0" w:color="auto"/>
        <w:bottom w:val="none" w:sz="0" w:space="0" w:color="auto"/>
        <w:right w:val="none" w:sz="0" w:space="0" w:color="auto"/>
      </w:divBdr>
      <w:divsChild>
        <w:div w:id="455875178">
          <w:marLeft w:val="0"/>
          <w:marRight w:val="0"/>
          <w:marTop w:val="0"/>
          <w:marBottom w:val="0"/>
          <w:divBdr>
            <w:top w:val="none" w:sz="0" w:space="0" w:color="auto"/>
            <w:left w:val="none" w:sz="0" w:space="0" w:color="auto"/>
            <w:bottom w:val="none" w:sz="0" w:space="0" w:color="auto"/>
            <w:right w:val="none" w:sz="0" w:space="0" w:color="auto"/>
          </w:divBdr>
        </w:div>
      </w:divsChild>
    </w:div>
    <w:div w:id="1091468073">
      <w:bodyDiv w:val="1"/>
      <w:marLeft w:val="0"/>
      <w:marRight w:val="0"/>
      <w:marTop w:val="0"/>
      <w:marBottom w:val="0"/>
      <w:divBdr>
        <w:top w:val="none" w:sz="0" w:space="0" w:color="auto"/>
        <w:left w:val="none" w:sz="0" w:space="0" w:color="auto"/>
        <w:bottom w:val="none" w:sz="0" w:space="0" w:color="auto"/>
        <w:right w:val="none" w:sz="0" w:space="0" w:color="auto"/>
      </w:divBdr>
    </w:div>
    <w:div w:id="1115560583">
      <w:bodyDiv w:val="1"/>
      <w:marLeft w:val="0"/>
      <w:marRight w:val="0"/>
      <w:marTop w:val="0"/>
      <w:marBottom w:val="0"/>
      <w:divBdr>
        <w:top w:val="none" w:sz="0" w:space="0" w:color="auto"/>
        <w:left w:val="none" w:sz="0" w:space="0" w:color="auto"/>
        <w:bottom w:val="none" w:sz="0" w:space="0" w:color="auto"/>
        <w:right w:val="none" w:sz="0" w:space="0" w:color="auto"/>
      </w:divBdr>
    </w:div>
    <w:div w:id="1149439414">
      <w:bodyDiv w:val="1"/>
      <w:marLeft w:val="0"/>
      <w:marRight w:val="0"/>
      <w:marTop w:val="0"/>
      <w:marBottom w:val="0"/>
      <w:divBdr>
        <w:top w:val="none" w:sz="0" w:space="0" w:color="auto"/>
        <w:left w:val="none" w:sz="0" w:space="0" w:color="auto"/>
        <w:bottom w:val="none" w:sz="0" w:space="0" w:color="auto"/>
        <w:right w:val="none" w:sz="0" w:space="0" w:color="auto"/>
      </w:divBdr>
    </w:div>
    <w:div w:id="1167550256">
      <w:bodyDiv w:val="1"/>
      <w:marLeft w:val="0"/>
      <w:marRight w:val="0"/>
      <w:marTop w:val="0"/>
      <w:marBottom w:val="0"/>
      <w:divBdr>
        <w:top w:val="none" w:sz="0" w:space="0" w:color="auto"/>
        <w:left w:val="none" w:sz="0" w:space="0" w:color="auto"/>
        <w:bottom w:val="none" w:sz="0" w:space="0" w:color="auto"/>
        <w:right w:val="none" w:sz="0" w:space="0" w:color="auto"/>
      </w:divBdr>
    </w:div>
    <w:div w:id="1186601488">
      <w:bodyDiv w:val="1"/>
      <w:marLeft w:val="0"/>
      <w:marRight w:val="0"/>
      <w:marTop w:val="0"/>
      <w:marBottom w:val="0"/>
      <w:divBdr>
        <w:top w:val="none" w:sz="0" w:space="0" w:color="auto"/>
        <w:left w:val="none" w:sz="0" w:space="0" w:color="auto"/>
        <w:bottom w:val="none" w:sz="0" w:space="0" w:color="auto"/>
        <w:right w:val="none" w:sz="0" w:space="0" w:color="auto"/>
      </w:divBdr>
    </w:div>
    <w:div w:id="1187251596">
      <w:bodyDiv w:val="1"/>
      <w:marLeft w:val="0"/>
      <w:marRight w:val="0"/>
      <w:marTop w:val="0"/>
      <w:marBottom w:val="0"/>
      <w:divBdr>
        <w:top w:val="none" w:sz="0" w:space="0" w:color="auto"/>
        <w:left w:val="none" w:sz="0" w:space="0" w:color="auto"/>
        <w:bottom w:val="none" w:sz="0" w:space="0" w:color="auto"/>
        <w:right w:val="none" w:sz="0" w:space="0" w:color="auto"/>
      </w:divBdr>
    </w:div>
    <w:div w:id="1218004831">
      <w:bodyDiv w:val="1"/>
      <w:marLeft w:val="0"/>
      <w:marRight w:val="0"/>
      <w:marTop w:val="0"/>
      <w:marBottom w:val="0"/>
      <w:divBdr>
        <w:top w:val="none" w:sz="0" w:space="0" w:color="auto"/>
        <w:left w:val="none" w:sz="0" w:space="0" w:color="auto"/>
        <w:bottom w:val="none" w:sz="0" w:space="0" w:color="auto"/>
        <w:right w:val="none" w:sz="0" w:space="0" w:color="auto"/>
      </w:divBdr>
    </w:div>
    <w:div w:id="1218124787">
      <w:bodyDiv w:val="1"/>
      <w:marLeft w:val="0"/>
      <w:marRight w:val="0"/>
      <w:marTop w:val="0"/>
      <w:marBottom w:val="0"/>
      <w:divBdr>
        <w:top w:val="none" w:sz="0" w:space="0" w:color="auto"/>
        <w:left w:val="none" w:sz="0" w:space="0" w:color="auto"/>
        <w:bottom w:val="none" w:sz="0" w:space="0" w:color="auto"/>
        <w:right w:val="none" w:sz="0" w:space="0" w:color="auto"/>
      </w:divBdr>
    </w:div>
    <w:div w:id="1274052433">
      <w:bodyDiv w:val="1"/>
      <w:marLeft w:val="0"/>
      <w:marRight w:val="0"/>
      <w:marTop w:val="0"/>
      <w:marBottom w:val="0"/>
      <w:divBdr>
        <w:top w:val="none" w:sz="0" w:space="0" w:color="auto"/>
        <w:left w:val="none" w:sz="0" w:space="0" w:color="auto"/>
        <w:bottom w:val="none" w:sz="0" w:space="0" w:color="auto"/>
        <w:right w:val="none" w:sz="0" w:space="0" w:color="auto"/>
      </w:divBdr>
    </w:div>
    <w:div w:id="1311596932">
      <w:bodyDiv w:val="1"/>
      <w:marLeft w:val="0"/>
      <w:marRight w:val="0"/>
      <w:marTop w:val="0"/>
      <w:marBottom w:val="0"/>
      <w:divBdr>
        <w:top w:val="none" w:sz="0" w:space="0" w:color="auto"/>
        <w:left w:val="none" w:sz="0" w:space="0" w:color="auto"/>
        <w:bottom w:val="none" w:sz="0" w:space="0" w:color="auto"/>
        <w:right w:val="none" w:sz="0" w:space="0" w:color="auto"/>
      </w:divBdr>
    </w:div>
    <w:div w:id="1339117990">
      <w:bodyDiv w:val="1"/>
      <w:marLeft w:val="0"/>
      <w:marRight w:val="0"/>
      <w:marTop w:val="0"/>
      <w:marBottom w:val="0"/>
      <w:divBdr>
        <w:top w:val="none" w:sz="0" w:space="0" w:color="auto"/>
        <w:left w:val="none" w:sz="0" w:space="0" w:color="auto"/>
        <w:bottom w:val="none" w:sz="0" w:space="0" w:color="auto"/>
        <w:right w:val="none" w:sz="0" w:space="0" w:color="auto"/>
      </w:divBdr>
    </w:div>
    <w:div w:id="1409959900">
      <w:bodyDiv w:val="1"/>
      <w:marLeft w:val="0"/>
      <w:marRight w:val="0"/>
      <w:marTop w:val="0"/>
      <w:marBottom w:val="0"/>
      <w:divBdr>
        <w:top w:val="none" w:sz="0" w:space="0" w:color="auto"/>
        <w:left w:val="none" w:sz="0" w:space="0" w:color="auto"/>
        <w:bottom w:val="none" w:sz="0" w:space="0" w:color="auto"/>
        <w:right w:val="none" w:sz="0" w:space="0" w:color="auto"/>
      </w:divBdr>
    </w:div>
    <w:div w:id="1414276627">
      <w:bodyDiv w:val="1"/>
      <w:marLeft w:val="0"/>
      <w:marRight w:val="0"/>
      <w:marTop w:val="0"/>
      <w:marBottom w:val="0"/>
      <w:divBdr>
        <w:top w:val="none" w:sz="0" w:space="0" w:color="auto"/>
        <w:left w:val="none" w:sz="0" w:space="0" w:color="auto"/>
        <w:bottom w:val="none" w:sz="0" w:space="0" w:color="auto"/>
        <w:right w:val="none" w:sz="0" w:space="0" w:color="auto"/>
      </w:divBdr>
    </w:div>
    <w:div w:id="1431124763">
      <w:bodyDiv w:val="1"/>
      <w:marLeft w:val="0"/>
      <w:marRight w:val="0"/>
      <w:marTop w:val="0"/>
      <w:marBottom w:val="0"/>
      <w:divBdr>
        <w:top w:val="none" w:sz="0" w:space="0" w:color="auto"/>
        <w:left w:val="none" w:sz="0" w:space="0" w:color="auto"/>
        <w:bottom w:val="none" w:sz="0" w:space="0" w:color="auto"/>
        <w:right w:val="none" w:sz="0" w:space="0" w:color="auto"/>
      </w:divBdr>
    </w:div>
    <w:div w:id="1516993518">
      <w:bodyDiv w:val="1"/>
      <w:marLeft w:val="0"/>
      <w:marRight w:val="0"/>
      <w:marTop w:val="0"/>
      <w:marBottom w:val="0"/>
      <w:divBdr>
        <w:top w:val="none" w:sz="0" w:space="0" w:color="auto"/>
        <w:left w:val="none" w:sz="0" w:space="0" w:color="auto"/>
        <w:bottom w:val="none" w:sz="0" w:space="0" w:color="auto"/>
        <w:right w:val="none" w:sz="0" w:space="0" w:color="auto"/>
      </w:divBdr>
      <w:divsChild>
        <w:div w:id="30737184">
          <w:marLeft w:val="0"/>
          <w:marRight w:val="0"/>
          <w:marTop w:val="0"/>
          <w:marBottom w:val="0"/>
          <w:divBdr>
            <w:top w:val="none" w:sz="0" w:space="0" w:color="auto"/>
            <w:left w:val="none" w:sz="0" w:space="0" w:color="auto"/>
            <w:bottom w:val="none" w:sz="0" w:space="0" w:color="auto"/>
            <w:right w:val="none" w:sz="0" w:space="0" w:color="auto"/>
          </w:divBdr>
          <w:divsChild>
            <w:div w:id="1034960870">
              <w:marLeft w:val="0"/>
              <w:marRight w:val="60"/>
              <w:marTop w:val="0"/>
              <w:marBottom w:val="0"/>
              <w:divBdr>
                <w:top w:val="none" w:sz="0" w:space="0" w:color="auto"/>
                <w:left w:val="none" w:sz="0" w:space="0" w:color="auto"/>
                <w:bottom w:val="none" w:sz="0" w:space="0" w:color="auto"/>
                <w:right w:val="none" w:sz="0" w:space="0" w:color="auto"/>
              </w:divBdr>
              <w:divsChild>
                <w:div w:id="1752585063">
                  <w:marLeft w:val="0"/>
                  <w:marRight w:val="0"/>
                  <w:marTop w:val="0"/>
                  <w:marBottom w:val="120"/>
                  <w:divBdr>
                    <w:top w:val="single" w:sz="6" w:space="0" w:color="C0C0C0"/>
                    <w:left w:val="single" w:sz="6" w:space="0" w:color="D9D9D9"/>
                    <w:bottom w:val="single" w:sz="6" w:space="0" w:color="D9D9D9"/>
                    <w:right w:val="single" w:sz="6" w:space="0" w:color="D9D9D9"/>
                  </w:divBdr>
                  <w:divsChild>
                    <w:div w:id="1744373922">
                      <w:marLeft w:val="0"/>
                      <w:marRight w:val="0"/>
                      <w:marTop w:val="0"/>
                      <w:marBottom w:val="0"/>
                      <w:divBdr>
                        <w:top w:val="none" w:sz="0" w:space="0" w:color="auto"/>
                        <w:left w:val="none" w:sz="0" w:space="0" w:color="auto"/>
                        <w:bottom w:val="none" w:sz="0" w:space="0" w:color="auto"/>
                        <w:right w:val="none" w:sz="0" w:space="0" w:color="auto"/>
                      </w:divBdr>
                      <w:divsChild>
                        <w:div w:id="1392466156">
                          <w:marLeft w:val="0"/>
                          <w:marRight w:val="0"/>
                          <w:marTop w:val="0"/>
                          <w:marBottom w:val="0"/>
                          <w:divBdr>
                            <w:top w:val="none" w:sz="0" w:space="0" w:color="auto"/>
                            <w:left w:val="none" w:sz="0" w:space="0" w:color="auto"/>
                            <w:bottom w:val="none" w:sz="0" w:space="0" w:color="auto"/>
                            <w:right w:val="none" w:sz="0" w:space="0" w:color="auto"/>
                          </w:divBdr>
                          <w:divsChild>
                            <w:div w:id="1928297643">
                              <w:marLeft w:val="0"/>
                              <w:marRight w:val="0"/>
                              <w:marTop w:val="0"/>
                              <w:marBottom w:val="0"/>
                              <w:divBdr>
                                <w:top w:val="none" w:sz="0" w:space="0" w:color="auto"/>
                                <w:left w:val="none" w:sz="0" w:space="0" w:color="auto"/>
                                <w:bottom w:val="none" w:sz="0" w:space="0" w:color="auto"/>
                                <w:right w:val="none" w:sz="0" w:space="0" w:color="auto"/>
                              </w:divBdr>
                              <w:divsChild>
                                <w:div w:id="16716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43726">
          <w:marLeft w:val="0"/>
          <w:marRight w:val="0"/>
          <w:marTop w:val="0"/>
          <w:marBottom w:val="0"/>
          <w:divBdr>
            <w:top w:val="none" w:sz="0" w:space="0" w:color="auto"/>
            <w:left w:val="none" w:sz="0" w:space="0" w:color="auto"/>
            <w:bottom w:val="none" w:sz="0" w:space="0" w:color="auto"/>
            <w:right w:val="none" w:sz="0" w:space="0" w:color="auto"/>
          </w:divBdr>
          <w:divsChild>
            <w:div w:id="953290564">
              <w:marLeft w:val="60"/>
              <w:marRight w:val="0"/>
              <w:marTop w:val="0"/>
              <w:marBottom w:val="0"/>
              <w:divBdr>
                <w:top w:val="none" w:sz="0" w:space="0" w:color="auto"/>
                <w:left w:val="none" w:sz="0" w:space="0" w:color="auto"/>
                <w:bottom w:val="none" w:sz="0" w:space="0" w:color="auto"/>
                <w:right w:val="none" w:sz="0" w:space="0" w:color="auto"/>
              </w:divBdr>
              <w:divsChild>
                <w:div w:id="1042947172">
                  <w:marLeft w:val="0"/>
                  <w:marRight w:val="0"/>
                  <w:marTop w:val="0"/>
                  <w:marBottom w:val="0"/>
                  <w:divBdr>
                    <w:top w:val="none" w:sz="0" w:space="0" w:color="auto"/>
                    <w:left w:val="none" w:sz="0" w:space="0" w:color="auto"/>
                    <w:bottom w:val="none" w:sz="0" w:space="0" w:color="auto"/>
                    <w:right w:val="none" w:sz="0" w:space="0" w:color="auto"/>
                  </w:divBdr>
                  <w:divsChild>
                    <w:div w:id="219173492">
                      <w:marLeft w:val="0"/>
                      <w:marRight w:val="0"/>
                      <w:marTop w:val="0"/>
                      <w:marBottom w:val="120"/>
                      <w:divBdr>
                        <w:top w:val="single" w:sz="6" w:space="0" w:color="F5F5F5"/>
                        <w:left w:val="single" w:sz="6" w:space="0" w:color="F5F5F5"/>
                        <w:bottom w:val="single" w:sz="6" w:space="0" w:color="F5F5F5"/>
                        <w:right w:val="single" w:sz="6" w:space="0" w:color="F5F5F5"/>
                      </w:divBdr>
                      <w:divsChild>
                        <w:div w:id="1179078462">
                          <w:marLeft w:val="0"/>
                          <w:marRight w:val="0"/>
                          <w:marTop w:val="0"/>
                          <w:marBottom w:val="0"/>
                          <w:divBdr>
                            <w:top w:val="none" w:sz="0" w:space="0" w:color="auto"/>
                            <w:left w:val="none" w:sz="0" w:space="0" w:color="auto"/>
                            <w:bottom w:val="none" w:sz="0" w:space="0" w:color="auto"/>
                            <w:right w:val="none" w:sz="0" w:space="0" w:color="auto"/>
                          </w:divBdr>
                          <w:divsChild>
                            <w:div w:id="1752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043800">
      <w:bodyDiv w:val="1"/>
      <w:marLeft w:val="0"/>
      <w:marRight w:val="0"/>
      <w:marTop w:val="0"/>
      <w:marBottom w:val="0"/>
      <w:divBdr>
        <w:top w:val="none" w:sz="0" w:space="0" w:color="auto"/>
        <w:left w:val="none" w:sz="0" w:space="0" w:color="auto"/>
        <w:bottom w:val="none" w:sz="0" w:space="0" w:color="auto"/>
        <w:right w:val="none" w:sz="0" w:space="0" w:color="auto"/>
      </w:divBdr>
    </w:div>
    <w:div w:id="1659184219">
      <w:bodyDiv w:val="1"/>
      <w:marLeft w:val="0"/>
      <w:marRight w:val="0"/>
      <w:marTop w:val="0"/>
      <w:marBottom w:val="0"/>
      <w:divBdr>
        <w:top w:val="none" w:sz="0" w:space="0" w:color="auto"/>
        <w:left w:val="none" w:sz="0" w:space="0" w:color="auto"/>
        <w:bottom w:val="none" w:sz="0" w:space="0" w:color="auto"/>
        <w:right w:val="none" w:sz="0" w:space="0" w:color="auto"/>
      </w:divBdr>
    </w:div>
    <w:div w:id="1726683727">
      <w:bodyDiv w:val="1"/>
      <w:marLeft w:val="0"/>
      <w:marRight w:val="0"/>
      <w:marTop w:val="0"/>
      <w:marBottom w:val="0"/>
      <w:divBdr>
        <w:top w:val="none" w:sz="0" w:space="0" w:color="auto"/>
        <w:left w:val="none" w:sz="0" w:space="0" w:color="auto"/>
        <w:bottom w:val="none" w:sz="0" w:space="0" w:color="auto"/>
        <w:right w:val="none" w:sz="0" w:space="0" w:color="auto"/>
      </w:divBdr>
    </w:div>
    <w:div w:id="1728801504">
      <w:bodyDiv w:val="1"/>
      <w:marLeft w:val="0"/>
      <w:marRight w:val="0"/>
      <w:marTop w:val="0"/>
      <w:marBottom w:val="0"/>
      <w:divBdr>
        <w:top w:val="none" w:sz="0" w:space="0" w:color="auto"/>
        <w:left w:val="none" w:sz="0" w:space="0" w:color="auto"/>
        <w:bottom w:val="none" w:sz="0" w:space="0" w:color="auto"/>
        <w:right w:val="none" w:sz="0" w:space="0" w:color="auto"/>
      </w:divBdr>
    </w:div>
    <w:div w:id="1796749471">
      <w:bodyDiv w:val="1"/>
      <w:marLeft w:val="0"/>
      <w:marRight w:val="0"/>
      <w:marTop w:val="0"/>
      <w:marBottom w:val="0"/>
      <w:divBdr>
        <w:top w:val="none" w:sz="0" w:space="0" w:color="auto"/>
        <w:left w:val="none" w:sz="0" w:space="0" w:color="auto"/>
        <w:bottom w:val="none" w:sz="0" w:space="0" w:color="auto"/>
        <w:right w:val="none" w:sz="0" w:space="0" w:color="auto"/>
      </w:divBdr>
    </w:div>
    <w:div w:id="1829176934">
      <w:bodyDiv w:val="1"/>
      <w:marLeft w:val="0"/>
      <w:marRight w:val="0"/>
      <w:marTop w:val="0"/>
      <w:marBottom w:val="0"/>
      <w:divBdr>
        <w:top w:val="none" w:sz="0" w:space="0" w:color="auto"/>
        <w:left w:val="none" w:sz="0" w:space="0" w:color="auto"/>
        <w:bottom w:val="none" w:sz="0" w:space="0" w:color="auto"/>
        <w:right w:val="none" w:sz="0" w:space="0" w:color="auto"/>
      </w:divBdr>
    </w:div>
    <w:div w:id="1843544047">
      <w:bodyDiv w:val="1"/>
      <w:marLeft w:val="0"/>
      <w:marRight w:val="0"/>
      <w:marTop w:val="0"/>
      <w:marBottom w:val="0"/>
      <w:divBdr>
        <w:top w:val="none" w:sz="0" w:space="0" w:color="auto"/>
        <w:left w:val="none" w:sz="0" w:space="0" w:color="auto"/>
        <w:bottom w:val="none" w:sz="0" w:space="0" w:color="auto"/>
        <w:right w:val="none" w:sz="0" w:space="0" w:color="auto"/>
      </w:divBdr>
    </w:div>
    <w:div w:id="1861503234">
      <w:bodyDiv w:val="1"/>
      <w:marLeft w:val="0"/>
      <w:marRight w:val="0"/>
      <w:marTop w:val="0"/>
      <w:marBottom w:val="0"/>
      <w:divBdr>
        <w:top w:val="none" w:sz="0" w:space="0" w:color="auto"/>
        <w:left w:val="none" w:sz="0" w:space="0" w:color="auto"/>
        <w:bottom w:val="none" w:sz="0" w:space="0" w:color="auto"/>
        <w:right w:val="none" w:sz="0" w:space="0" w:color="auto"/>
      </w:divBdr>
    </w:div>
    <w:div w:id="1877767193">
      <w:bodyDiv w:val="1"/>
      <w:marLeft w:val="0"/>
      <w:marRight w:val="0"/>
      <w:marTop w:val="0"/>
      <w:marBottom w:val="0"/>
      <w:divBdr>
        <w:top w:val="none" w:sz="0" w:space="0" w:color="auto"/>
        <w:left w:val="none" w:sz="0" w:space="0" w:color="auto"/>
        <w:bottom w:val="none" w:sz="0" w:space="0" w:color="auto"/>
        <w:right w:val="none" w:sz="0" w:space="0" w:color="auto"/>
      </w:divBdr>
    </w:div>
    <w:div w:id="1879974850">
      <w:bodyDiv w:val="1"/>
      <w:marLeft w:val="0"/>
      <w:marRight w:val="0"/>
      <w:marTop w:val="0"/>
      <w:marBottom w:val="0"/>
      <w:divBdr>
        <w:top w:val="none" w:sz="0" w:space="0" w:color="auto"/>
        <w:left w:val="none" w:sz="0" w:space="0" w:color="auto"/>
        <w:bottom w:val="none" w:sz="0" w:space="0" w:color="auto"/>
        <w:right w:val="none" w:sz="0" w:space="0" w:color="auto"/>
      </w:divBdr>
    </w:div>
    <w:div w:id="1907647759">
      <w:bodyDiv w:val="1"/>
      <w:marLeft w:val="0"/>
      <w:marRight w:val="0"/>
      <w:marTop w:val="0"/>
      <w:marBottom w:val="0"/>
      <w:divBdr>
        <w:top w:val="none" w:sz="0" w:space="0" w:color="auto"/>
        <w:left w:val="none" w:sz="0" w:space="0" w:color="auto"/>
        <w:bottom w:val="none" w:sz="0" w:space="0" w:color="auto"/>
        <w:right w:val="none" w:sz="0" w:space="0" w:color="auto"/>
      </w:divBdr>
    </w:div>
    <w:div w:id="1940527591">
      <w:bodyDiv w:val="1"/>
      <w:marLeft w:val="0"/>
      <w:marRight w:val="0"/>
      <w:marTop w:val="0"/>
      <w:marBottom w:val="0"/>
      <w:divBdr>
        <w:top w:val="none" w:sz="0" w:space="0" w:color="auto"/>
        <w:left w:val="none" w:sz="0" w:space="0" w:color="auto"/>
        <w:bottom w:val="none" w:sz="0" w:space="0" w:color="auto"/>
        <w:right w:val="none" w:sz="0" w:space="0" w:color="auto"/>
      </w:divBdr>
    </w:div>
    <w:div w:id="1973553434">
      <w:bodyDiv w:val="1"/>
      <w:marLeft w:val="0"/>
      <w:marRight w:val="0"/>
      <w:marTop w:val="0"/>
      <w:marBottom w:val="0"/>
      <w:divBdr>
        <w:top w:val="none" w:sz="0" w:space="0" w:color="auto"/>
        <w:left w:val="none" w:sz="0" w:space="0" w:color="auto"/>
        <w:bottom w:val="none" w:sz="0" w:space="0" w:color="auto"/>
        <w:right w:val="none" w:sz="0" w:space="0" w:color="auto"/>
      </w:divBdr>
    </w:div>
    <w:div w:id="2072996753">
      <w:bodyDiv w:val="1"/>
      <w:marLeft w:val="0"/>
      <w:marRight w:val="0"/>
      <w:marTop w:val="0"/>
      <w:marBottom w:val="0"/>
      <w:divBdr>
        <w:top w:val="none" w:sz="0" w:space="0" w:color="auto"/>
        <w:left w:val="none" w:sz="0" w:space="0" w:color="auto"/>
        <w:bottom w:val="none" w:sz="0" w:space="0" w:color="auto"/>
        <w:right w:val="none" w:sz="0" w:space="0" w:color="auto"/>
      </w:divBdr>
    </w:div>
    <w:div w:id="20942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ail21.godaddy.com/search.php" TargetMode="External"/><Relationship Id="rId18" Type="http://schemas.openxmlformats.org/officeDocument/2006/relationships/hyperlink" Target="https://www.womenenable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mail21.godaddy.com/search.php" TargetMode="External"/><Relationship Id="rId17" Type="http://schemas.openxmlformats.org/officeDocument/2006/relationships/hyperlink" Target="mailto:mujeres@redi.org.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mail21.godaddy.com/search.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aleazzi@WomenEnabled.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ontufar31@hotmail.com" TargetMode="External"/><Relationship Id="rId23" Type="http://schemas.openxmlformats.org/officeDocument/2006/relationships/header" Target="header3.xml"/><Relationship Id="rId10" Type="http://schemas.openxmlformats.org/officeDocument/2006/relationships/hyperlink" Target="mailto:a.mcrae@WomenEnable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nt@WomenEnabled.org" TargetMode="External"/><Relationship Id="rId14" Type="http://schemas.openxmlformats.org/officeDocument/2006/relationships/hyperlink" Target="https://email21.godaddy.com/search.php"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2.unwomen.org/-/media/field%20office%20caribbean/attachments/" TargetMode="External"/><Relationship Id="rId2" Type="http://schemas.openxmlformats.org/officeDocument/2006/relationships/hyperlink" Target="https://oig.cepal.org/en" TargetMode="External"/><Relationship Id="rId1" Type="http://schemas.openxmlformats.org/officeDocument/2006/relationships/hyperlink" Target="http://www.state.gov/documents/organization/196468.pdf" TargetMode="External"/><Relationship Id="rId4" Type="http://schemas.openxmlformats.org/officeDocument/2006/relationships/hyperlink" Target="https://www.unicef.org/videoaudio/PDFs/UNICEF_Violence_Against_Disabled_Children_Report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7417-85BD-EF45-B42E-1520E29B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3560</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Amanda McRae</cp:lastModifiedBy>
  <cp:revision>2</cp:revision>
  <dcterms:created xsi:type="dcterms:W3CDTF">2018-11-15T21:16:00Z</dcterms:created>
  <dcterms:modified xsi:type="dcterms:W3CDTF">2018-11-15T21:16:00Z</dcterms:modified>
</cp:coreProperties>
</file>